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DF" w:rsidRPr="00117999" w:rsidRDefault="00A809DF" w:rsidP="00A809DF">
      <w:pPr>
        <w:widowControl/>
        <w:rPr>
          <w:rFonts w:asciiTheme="minorEastAsia" w:eastAsiaTheme="minorEastAsia" w:hAnsiTheme="minorEastAsia" w:cs="Arial"/>
          <w:kern w:val="0"/>
          <w:sz w:val="27"/>
          <w:szCs w:val="27"/>
        </w:rPr>
      </w:pPr>
      <w:r w:rsidRPr="00A809DF">
        <w:rPr>
          <w:kern w:val="0"/>
          <w:sz w:val="27"/>
          <w:szCs w:val="27"/>
        </w:rPr>
        <w:t>各位理監事及會員夥伴，您們好！</w:t>
      </w:r>
      <w:r w:rsidRPr="00A809DF">
        <w:rPr>
          <w:kern w:val="0"/>
          <w:sz w:val="27"/>
          <w:szCs w:val="27"/>
        </w:rPr>
        <w:br/>
      </w:r>
      <w:r w:rsidRPr="00A809DF">
        <w:rPr>
          <w:kern w:val="0"/>
          <w:sz w:val="27"/>
          <w:szCs w:val="27"/>
        </w:rPr>
        <w:br/>
      </w:r>
      <w:r w:rsidR="001E0667">
        <w:rPr>
          <w:rFonts w:hint="eastAsia"/>
          <w:kern w:val="0"/>
          <w:sz w:val="27"/>
          <w:szCs w:val="27"/>
        </w:rPr>
        <w:t xml:space="preserve"> </w:t>
      </w:r>
      <w:r w:rsidR="001E0667">
        <w:rPr>
          <w:kern w:val="0"/>
          <w:sz w:val="27"/>
          <w:szCs w:val="27"/>
        </w:rPr>
        <w:t xml:space="preserve">  </w:t>
      </w:r>
      <w:r w:rsidR="001E0667" w:rsidRPr="00117999">
        <w:rPr>
          <w:kern w:val="0"/>
          <w:sz w:val="27"/>
          <w:szCs w:val="27"/>
        </w:rPr>
        <w:t xml:space="preserve"> 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臺</w:t>
      </w:r>
      <w:r w:rsidR="00097622">
        <w:rPr>
          <w:rFonts w:asciiTheme="minorEastAsia" w:eastAsiaTheme="minorEastAsia" w:hAnsiTheme="minorEastAsia"/>
          <w:kern w:val="0"/>
          <w:sz w:val="27"/>
          <w:szCs w:val="27"/>
        </w:rPr>
        <w:t>灣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評</w:t>
      </w:r>
      <w:r w:rsidR="00097622">
        <w:rPr>
          <w:rFonts w:asciiTheme="minorEastAsia" w:eastAsiaTheme="minorEastAsia" w:hAnsiTheme="minorEastAsia"/>
          <w:kern w:val="0"/>
          <w:sz w:val="27"/>
          <w:szCs w:val="27"/>
        </w:rPr>
        <w:t>論教育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學會2</w:t>
      </w:r>
      <w:r w:rsidR="001F3B56" w:rsidRPr="00117999">
        <w:rPr>
          <w:rFonts w:asciiTheme="minorEastAsia" w:eastAsiaTheme="minorEastAsia" w:hAnsiTheme="minorEastAsia" w:hint="eastAsia"/>
          <w:kern w:val="0"/>
          <w:sz w:val="27"/>
          <w:szCs w:val="27"/>
        </w:rPr>
        <w:t>02</w:t>
      </w:r>
      <w:r w:rsidR="00F24301" w:rsidRPr="00117999">
        <w:rPr>
          <w:rFonts w:asciiTheme="minorEastAsia" w:eastAsiaTheme="minorEastAsia" w:hAnsiTheme="minorEastAsia"/>
          <w:kern w:val="0"/>
          <w:sz w:val="27"/>
          <w:szCs w:val="27"/>
        </w:rPr>
        <w:t>2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年度專書</w:t>
      </w:r>
      <w:r w:rsidR="00951801" w:rsidRPr="00117999">
        <w:rPr>
          <w:rFonts w:asciiTheme="minorEastAsia" w:eastAsiaTheme="minorEastAsia" w:hAnsiTheme="minorEastAsia" w:hint="eastAsia"/>
          <w:kern w:val="0"/>
          <w:sz w:val="27"/>
          <w:szCs w:val="27"/>
        </w:rPr>
        <w:t>主題為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｢</w:t>
      </w:r>
      <w:r w:rsidR="00CD7A83" w:rsidRPr="00117999">
        <w:rPr>
          <w:rFonts w:asciiTheme="minorEastAsia" w:eastAsiaTheme="minorEastAsia" w:hAnsiTheme="minorEastAsia" w:hint="eastAsia"/>
          <w:sz w:val="27"/>
          <w:szCs w:val="27"/>
        </w:rPr>
        <w:t>雙語教育的政策省思與國際比較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｣特正進行</w:t>
      </w:r>
      <w:r w:rsidR="00097622">
        <w:rPr>
          <w:rFonts w:asciiTheme="minorEastAsia" w:eastAsiaTheme="minorEastAsia" w:hAnsiTheme="minorEastAsia"/>
          <w:kern w:val="0"/>
          <w:sz w:val="27"/>
          <w:szCs w:val="27"/>
        </w:rPr>
        <w:t>徵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稿，</w:t>
      </w:r>
      <w:r w:rsidR="001F3B56" w:rsidRPr="00117999">
        <w:rPr>
          <w:rFonts w:asciiTheme="minorEastAsia" w:eastAsiaTheme="minorEastAsia" w:hAnsiTheme="minorEastAsia" w:hint="eastAsia"/>
          <w:kern w:val="0"/>
          <w:sz w:val="27"/>
          <w:szCs w:val="27"/>
        </w:rPr>
        <w:t>202</w:t>
      </w:r>
      <w:r w:rsidR="00F24301" w:rsidRPr="00117999">
        <w:rPr>
          <w:rFonts w:asciiTheme="minorEastAsia" w:eastAsiaTheme="minorEastAsia" w:hAnsiTheme="minorEastAsia"/>
          <w:kern w:val="0"/>
          <w:sz w:val="27"/>
          <w:szCs w:val="27"/>
        </w:rPr>
        <w:t>2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年度專書由</w:t>
      </w:r>
      <w:r w:rsidR="00F24301" w:rsidRPr="00117999">
        <w:rPr>
          <w:rFonts w:asciiTheme="minorEastAsia" w:eastAsiaTheme="minorEastAsia" w:hAnsiTheme="minorEastAsia"/>
          <w:kern w:val="0"/>
          <w:sz w:val="27"/>
          <w:szCs w:val="27"/>
        </w:rPr>
        <w:t>臺北市立大學方志華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教授</w:t>
      </w:r>
      <w:r w:rsidR="00951801" w:rsidRPr="00117999">
        <w:rPr>
          <w:rFonts w:asciiTheme="minorEastAsia" w:eastAsiaTheme="minorEastAsia" w:hAnsiTheme="minorEastAsia" w:hint="eastAsia"/>
          <w:kern w:val="0"/>
          <w:sz w:val="27"/>
          <w:szCs w:val="27"/>
        </w:rPr>
        <w:t>與</w:t>
      </w:r>
      <w:r w:rsidR="00F24301" w:rsidRPr="00117999">
        <w:rPr>
          <w:rFonts w:asciiTheme="minorEastAsia" w:eastAsiaTheme="minorEastAsia" w:hAnsiTheme="minorEastAsia" w:hint="eastAsia"/>
          <w:kern w:val="0"/>
          <w:sz w:val="27"/>
          <w:szCs w:val="27"/>
        </w:rPr>
        <w:t>葉興華</w:t>
      </w:r>
      <w:r w:rsidR="00951801" w:rsidRPr="00117999">
        <w:rPr>
          <w:rFonts w:asciiTheme="minorEastAsia" w:eastAsiaTheme="minorEastAsia" w:hAnsiTheme="minorEastAsia" w:hint="eastAsia"/>
          <w:kern w:val="0"/>
          <w:sz w:val="27"/>
          <w:szCs w:val="27"/>
        </w:rPr>
        <w:t>教授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擔任主編，截稿日至</w:t>
      </w:r>
      <w:r w:rsidR="00951801" w:rsidRPr="00117999">
        <w:rPr>
          <w:rFonts w:asciiTheme="minorEastAsia" w:eastAsiaTheme="minorEastAsia" w:hAnsiTheme="minorEastAsia" w:hint="eastAsia"/>
          <w:kern w:val="0"/>
          <w:sz w:val="27"/>
          <w:szCs w:val="27"/>
        </w:rPr>
        <w:t>20</w:t>
      </w:r>
      <w:r w:rsidR="00F24301" w:rsidRPr="00117999">
        <w:rPr>
          <w:rFonts w:asciiTheme="minorEastAsia" w:eastAsiaTheme="minorEastAsia" w:hAnsiTheme="minorEastAsia"/>
          <w:kern w:val="0"/>
          <w:sz w:val="27"/>
          <w:szCs w:val="27"/>
        </w:rPr>
        <w:t>22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年</w:t>
      </w:r>
      <w:r w:rsidR="00F24301" w:rsidRPr="00117999">
        <w:rPr>
          <w:rFonts w:asciiTheme="minorEastAsia" w:eastAsiaTheme="minorEastAsia" w:hAnsiTheme="minorEastAsia" w:hint="eastAsia"/>
          <w:kern w:val="0"/>
          <w:sz w:val="27"/>
          <w:szCs w:val="27"/>
        </w:rPr>
        <w:t>0</w:t>
      </w:r>
      <w:r w:rsidR="00951801" w:rsidRPr="00117999">
        <w:rPr>
          <w:rFonts w:asciiTheme="minorEastAsia" w:eastAsiaTheme="minorEastAsia" w:hAnsiTheme="minorEastAsia" w:hint="eastAsia"/>
          <w:kern w:val="0"/>
          <w:sz w:val="27"/>
          <w:szCs w:val="27"/>
        </w:rPr>
        <w:t>1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月</w:t>
      </w:r>
      <w:r w:rsidR="00F24301" w:rsidRPr="00117999">
        <w:rPr>
          <w:rFonts w:asciiTheme="minorEastAsia" w:eastAsiaTheme="minorEastAsia" w:hAnsiTheme="minorEastAsia" w:hint="eastAsia"/>
          <w:kern w:val="0"/>
          <w:sz w:val="27"/>
          <w:szCs w:val="27"/>
        </w:rPr>
        <w:t>3</w:t>
      </w:r>
      <w:r w:rsidR="00F24301" w:rsidRPr="00117999">
        <w:rPr>
          <w:rFonts w:asciiTheme="minorEastAsia" w:eastAsiaTheme="minorEastAsia" w:hAnsiTheme="minorEastAsia"/>
          <w:kern w:val="0"/>
          <w:sz w:val="27"/>
          <w:szCs w:val="27"/>
        </w:rPr>
        <w:t>1</w:t>
      </w: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日止。</w:t>
      </w:r>
    </w:p>
    <w:p w:rsidR="00A809DF" w:rsidRPr="00117999" w:rsidRDefault="00A809DF" w:rsidP="00A809DF">
      <w:pPr>
        <w:widowControl/>
        <w:rPr>
          <w:rFonts w:asciiTheme="minorEastAsia" w:eastAsiaTheme="minorEastAsia" w:hAnsiTheme="minorEastAsia" w:cs="Arial"/>
          <w:kern w:val="0"/>
          <w:sz w:val="27"/>
          <w:szCs w:val="27"/>
        </w:rPr>
      </w:pPr>
      <w:r w:rsidRPr="00117999">
        <w:rPr>
          <w:rFonts w:asciiTheme="minorEastAsia" w:eastAsiaTheme="minorEastAsia" w:hAnsiTheme="minorEastAsia"/>
          <w:kern w:val="0"/>
          <w:sz w:val="27"/>
          <w:szCs w:val="27"/>
        </w:rPr>
        <w:t>本學會誠摯向各位邀稿，歡迎大家投稿！</w:t>
      </w:r>
    </w:p>
    <w:p w:rsidR="00A809DF" w:rsidRPr="00A809DF" w:rsidRDefault="00A809DF" w:rsidP="00A809DF">
      <w:pPr>
        <w:widowControl/>
        <w:spacing w:after="240"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t>順頌</w:t>
      </w:r>
      <w:r w:rsidRPr="00A809DF">
        <w:rPr>
          <w:rFonts w:ascii="PMingLiu" w:hAnsi="PMingLiu" w:cs="Arial"/>
          <w:kern w:val="0"/>
          <w:sz w:val="27"/>
          <w:szCs w:val="27"/>
        </w:rPr>
        <w:t xml:space="preserve"> </w:t>
      </w:r>
      <w:r w:rsidRPr="00A809DF">
        <w:rPr>
          <w:rFonts w:ascii="PMingLiu" w:hAnsi="PMingLiu" w:cs="Arial"/>
          <w:kern w:val="0"/>
          <w:sz w:val="27"/>
          <w:szCs w:val="27"/>
        </w:rPr>
        <w:t>時祺</w:t>
      </w:r>
    </w:p>
    <w:p w:rsidR="00A809DF" w:rsidRDefault="00ED5BA3" w:rsidP="00ED5BA3">
      <w:pPr>
        <w:widowControl/>
        <w:rPr>
          <w:rFonts w:ascii="PMingLiu" w:hAnsi="PMingLiu" w:cs="Arial" w:hint="eastAsia"/>
          <w:kern w:val="0"/>
          <w:sz w:val="27"/>
          <w:szCs w:val="27"/>
        </w:rPr>
      </w:pPr>
      <w:r>
        <w:rPr>
          <w:rFonts w:ascii="PMingLiu" w:hAnsi="PMingLiu" w:cs="Arial" w:hint="eastAsia"/>
          <w:kern w:val="0"/>
          <w:sz w:val="27"/>
          <w:szCs w:val="27"/>
        </w:rPr>
        <w:t xml:space="preserve">                                       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臺灣教育評論學會</w:t>
      </w:r>
      <w:r>
        <w:rPr>
          <w:rFonts w:ascii="PMingLiu" w:hAnsi="PMingLiu" w:cs="Arial" w:hint="eastAsia"/>
          <w:kern w:val="0"/>
          <w:sz w:val="27"/>
          <w:szCs w:val="27"/>
        </w:rPr>
        <w:t xml:space="preserve">  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敬上</w:t>
      </w:r>
    </w:p>
    <w:p w:rsidR="00936319" w:rsidRDefault="00936319" w:rsidP="00936319">
      <w:pPr>
        <w:widowControl/>
        <w:jc w:val="right"/>
        <w:rPr>
          <w:rFonts w:ascii="PMingLiu" w:hAnsi="PMingLiu" w:cs="Arial" w:hint="eastAsia"/>
          <w:kern w:val="0"/>
          <w:sz w:val="27"/>
          <w:szCs w:val="27"/>
        </w:rPr>
      </w:pPr>
      <w:r>
        <w:rPr>
          <w:rFonts w:ascii="PMingLiu" w:hAnsi="PMingLiu" w:cs="Arial" w:hint="eastAsia"/>
          <w:kern w:val="0"/>
          <w:sz w:val="27"/>
          <w:szCs w:val="27"/>
        </w:rPr>
        <w:t>2</w:t>
      </w:r>
      <w:r>
        <w:rPr>
          <w:rFonts w:ascii="PMingLiu" w:hAnsi="PMingLiu" w:cs="Arial"/>
          <w:kern w:val="0"/>
          <w:sz w:val="27"/>
          <w:szCs w:val="27"/>
        </w:rPr>
        <w:t>021.</w:t>
      </w:r>
      <w:r w:rsidR="00097622">
        <w:rPr>
          <w:rFonts w:ascii="PMingLiu" w:hAnsi="PMingLiu" w:cs="Arial"/>
          <w:kern w:val="0"/>
          <w:sz w:val="27"/>
          <w:szCs w:val="27"/>
        </w:rPr>
        <w:t>10</w:t>
      </w:r>
      <w:r>
        <w:rPr>
          <w:rFonts w:ascii="PMingLiu" w:hAnsi="PMingLiu" w:cs="Arial"/>
          <w:kern w:val="0"/>
          <w:sz w:val="27"/>
          <w:szCs w:val="27"/>
        </w:rPr>
        <w:t>.</w:t>
      </w:r>
    </w:p>
    <w:p w:rsidR="000F49D4" w:rsidRPr="00A809DF" w:rsidRDefault="000F49D4" w:rsidP="000F49D4">
      <w:pPr>
        <w:widowControl/>
        <w:ind w:firstLineChars="2050" w:firstLine="4920"/>
        <w:rPr>
          <w:rFonts w:ascii="Arial" w:hAnsi="Arial" w:cs="Arial"/>
          <w:kern w:val="0"/>
        </w:rPr>
      </w:pPr>
    </w:p>
    <w:p w:rsidR="00F24301" w:rsidRPr="00117999" w:rsidRDefault="00A809DF" w:rsidP="00A809DF">
      <w:pPr>
        <w:widowControl/>
        <w:rPr>
          <w:kern w:val="0"/>
          <w:sz w:val="32"/>
          <w:szCs w:val="32"/>
        </w:rPr>
      </w:pPr>
      <w:r w:rsidRPr="00A809DF">
        <w:rPr>
          <w:rFonts w:ascii="PMingLiu" w:hAnsi="PMingLiu" w:cs="Arial"/>
          <w:kern w:val="0"/>
          <w:sz w:val="27"/>
          <w:szCs w:val="27"/>
        </w:rPr>
        <w:t>--------------------------------------------------------------------------------------------</w:t>
      </w:r>
      <w:r w:rsidRPr="00A809DF">
        <w:rPr>
          <w:rFonts w:ascii="Arial" w:hAnsi="Arial" w:cs="Arial"/>
          <w:b/>
          <w:bCs/>
          <w:kern w:val="0"/>
          <w:sz w:val="48"/>
          <w:szCs w:val="48"/>
        </w:rPr>
        <w:t>臺灣教育評論學會</w:t>
      </w:r>
      <w:r w:rsidR="001F3B56">
        <w:rPr>
          <w:rFonts w:ascii="Arial" w:hAnsi="Arial" w:cs="Arial" w:hint="eastAsia"/>
          <w:b/>
          <w:bCs/>
          <w:kern w:val="0"/>
          <w:sz w:val="48"/>
          <w:szCs w:val="48"/>
        </w:rPr>
        <w:t>202</w:t>
      </w:r>
      <w:r w:rsidR="00F24301">
        <w:rPr>
          <w:rFonts w:ascii="Arial" w:hAnsi="Arial" w:cs="Arial"/>
          <w:b/>
          <w:bCs/>
          <w:kern w:val="0"/>
          <w:sz w:val="48"/>
          <w:szCs w:val="48"/>
        </w:rPr>
        <w:t>2</w:t>
      </w:r>
      <w:r w:rsidRPr="00A809DF">
        <w:rPr>
          <w:rFonts w:ascii="Arial" w:hAnsi="Arial" w:cs="Arial"/>
          <w:b/>
          <w:bCs/>
          <w:kern w:val="0"/>
          <w:sz w:val="48"/>
          <w:szCs w:val="48"/>
        </w:rPr>
        <w:t>年度專書稿約</w:t>
      </w:r>
      <w:r w:rsidRPr="00A809DF">
        <w:rPr>
          <w:rFonts w:ascii="Arial" w:hAnsi="Arial" w:cs="Arial"/>
          <w:b/>
          <w:bCs/>
          <w:kern w:val="0"/>
          <w:sz w:val="48"/>
          <w:szCs w:val="48"/>
        </w:rPr>
        <w:br/>
      </w:r>
      <w:r w:rsidRPr="00A809DF">
        <w:rPr>
          <w:rFonts w:ascii="Arial" w:hAnsi="Arial" w:cs="Arial"/>
          <w:kern w:val="0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一、專書名稱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A809DF">
        <w:rPr>
          <w:rFonts w:ascii="PMingLiu" w:hAnsi="PMingLiu" w:cs="Arial"/>
          <w:kern w:val="0"/>
          <w:sz w:val="27"/>
          <w:szCs w:val="27"/>
        </w:rPr>
        <w:br/>
      </w:r>
      <w:r w:rsidR="00F24301" w:rsidRPr="00117999">
        <w:rPr>
          <w:rFonts w:hint="eastAsia"/>
          <w:kern w:val="0"/>
          <w:sz w:val="32"/>
          <w:szCs w:val="32"/>
        </w:rPr>
        <w:t>雙語教育的政策省思與國際比較</w:t>
      </w:r>
    </w:p>
    <w:p w:rsidR="00117999" w:rsidRDefault="00A809DF" w:rsidP="00A921EC">
      <w:pPr>
        <w:widowControl/>
        <w:rPr>
          <w:rFonts w:ascii="PMingLiu" w:hAnsi="PMingLiu" w:cs="Arial" w:hint="eastAsia"/>
          <w:kern w:val="0"/>
          <w:sz w:val="27"/>
          <w:szCs w:val="27"/>
        </w:rPr>
      </w:pPr>
      <w:r w:rsidRPr="00A809DF">
        <w:rPr>
          <w:rFonts w:ascii="Arial" w:hAnsi="Arial" w:cs="Arial"/>
          <w:kern w:val="0"/>
          <w:sz w:val="27"/>
          <w:szCs w:val="27"/>
        </w:rPr>
        <w:br/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二、編輯緣起</w:t>
      </w:r>
      <w:r w:rsidR="00F00C86">
        <w:rPr>
          <w:rFonts w:ascii="PMingLiu" w:hAnsi="PMingLiu" w:cs="Arial" w:hint="eastAsia"/>
          <w:b/>
          <w:bCs/>
          <w:kern w:val="0"/>
          <w:sz w:val="27"/>
          <w:szCs w:val="27"/>
        </w:rPr>
        <w:t xml:space="preserve"> </w:t>
      </w:r>
      <w:r w:rsidRPr="00F00C86">
        <w:rPr>
          <w:rFonts w:ascii="PMingLiu" w:hAnsi="PMingLiu" w:cs="Arial"/>
          <w:b/>
          <w:bCs/>
          <w:color w:val="FF0000"/>
          <w:kern w:val="0"/>
          <w:sz w:val="27"/>
          <w:szCs w:val="27"/>
        </w:rPr>
        <w:br/>
      </w:r>
      <w:r w:rsidR="00191852">
        <w:rPr>
          <w:rFonts w:ascii="PMingLiu" w:hAnsi="PMingLiu" w:cs="Arial" w:hint="eastAsia"/>
          <w:kern w:val="0"/>
          <w:sz w:val="27"/>
          <w:szCs w:val="27"/>
        </w:rPr>
        <w:t xml:space="preserve"> </w:t>
      </w:r>
      <w:r w:rsidR="00191852">
        <w:rPr>
          <w:rFonts w:ascii="PMingLiu" w:hAnsi="PMingLiu" w:cs="Arial"/>
          <w:kern w:val="0"/>
          <w:sz w:val="27"/>
          <w:szCs w:val="27"/>
        </w:rPr>
        <w:t xml:space="preserve">   </w:t>
      </w:r>
    </w:p>
    <w:p w:rsidR="00A921EC" w:rsidRPr="00A921EC" w:rsidRDefault="00A921EC" w:rsidP="00117999">
      <w:pPr>
        <w:widowControl/>
        <w:ind w:firstLineChars="200" w:firstLine="540"/>
        <w:rPr>
          <w:rFonts w:ascii="PMingLiu" w:hAnsi="PMingLiu" w:cs="Arial" w:hint="eastAsia"/>
          <w:kern w:val="0"/>
          <w:sz w:val="27"/>
          <w:szCs w:val="27"/>
        </w:rPr>
      </w:pPr>
      <w:r w:rsidRPr="00A921EC">
        <w:rPr>
          <w:rFonts w:ascii="PMingLiu" w:hAnsi="PMingLiu" w:cs="Arial" w:hint="eastAsia"/>
          <w:kern w:val="0"/>
          <w:sz w:val="27"/>
          <w:szCs w:val="27"/>
        </w:rPr>
        <w:t>全球化的國際局勢快速多變，臺灣近年突顯出位居世界局勢的樞紐位置，需要及時因應全球為生命共同體之演化，培養可以迎頭趕上數位化和地球村時代的新公民，其中英語早已儼然成為必備的國際交流語言條件，因而國家發展委員會於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2018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年發佈「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2030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雙語國家政策發展藍圖」，而教育正是此一政策下最重要的基礎佈局領域。</w:t>
      </w:r>
    </w:p>
    <w:p w:rsidR="00A921EC" w:rsidRPr="00A921EC" w:rsidRDefault="00A921EC" w:rsidP="00191852">
      <w:pPr>
        <w:widowControl/>
        <w:ind w:firstLineChars="200" w:firstLine="540"/>
        <w:rPr>
          <w:rFonts w:ascii="PMingLiu" w:hAnsi="PMingLiu" w:cs="Arial" w:hint="eastAsia"/>
          <w:kern w:val="0"/>
          <w:sz w:val="27"/>
          <w:szCs w:val="27"/>
        </w:rPr>
      </w:pPr>
      <w:r w:rsidRPr="00A921EC">
        <w:rPr>
          <w:rFonts w:ascii="PMingLiu" w:hAnsi="PMingLiu" w:cs="Arial" w:hint="eastAsia"/>
          <w:kern w:val="0"/>
          <w:sz w:val="27"/>
          <w:szCs w:val="27"/>
        </w:rPr>
        <w:t>基於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2019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年起實施的十二年國教新課綱之基本理念與願景，學生應能在自主學習的課程與教學中習得運用英語，與來自世界各洲、各國的人們溝通交流，也要能同理和認識語言背後的文化底蘊，學習包容和尊重多元文化；雙語不僅是個人生涯能多元發展的重要資本，也是臺灣發展與國際社會、經濟與文化等交流以提高國家競爭力的重要媒介。</w:t>
      </w:r>
    </w:p>
    <w:p w:rsidR="00A921EC" w:rsidRPr="00A921EC" w:rsidRDefault="00A921EC" w:rsidP="00191852">
      <w:pPr>
        <w:widowControl/>
        <w:ind w:firstLineChars="200" w:firstLine="540"/>
        <w:rPr>
          <w:rFonts w:ascii="PMingLiu" w:hAnsi="PMingLiu" w:cs="Arial" w:hint="eastAsia"/>
          <w:kern w:val="0"/>
          <w:sz w:val="27"/>
          <w:szCs w:val="27"/>
        </w:rPr>
      </w:pPr>
      <w:r w:rsidRPr="00A921EC">
        <w:rPr>
          <w:rFonts w:ascii="PMingLiu" w:hAnsi="PMingLiu" w:cs="Arial" w:hint="eastAsia"/>
          <w:kern w:val="0"/>
          <w:sz w:val="27"/>
          <w:szCs w:val="27"/>
        </w:rPr>
        <w:t>2021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年可謂我國雙語教育元年，從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2021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年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9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月起大專到小學有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300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多萬名學生實施雙語教育新制。在大學方面，教育部已選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4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所大學、以及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25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校的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41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個學院，補助為雙語標竿大學與學院，期望標竿學校或學院至少五分之一大二和碩一生有</w:t>
      </w:r>
      <w:r w:rsidR="00AC6774">
        <w:rPr>
          <w:rFonts w:ascii="PMingLiu" w:hAnsi="PMingLiu" w:cs="Arial" w:hint="eastAsia"/>
          <w:kern w:val="0"/>
          <w:sz w:val="27"/>
          <w:szCs w:val="27"/>
        </w:rPr>
        <w:t>2</w:t>
      </w:r>
      <w:r w:rsidR="00AC6774">
        <w:rPr>
          <w:rFonts w:ascii="PMingLiu" w:hAnsi="PMingLiu" w:cs="Arial"/>
          <w:kern w:val="0"/>
          <w:sz w:val="27"/>
          <w:szCs w:val="27"/>
        </w:rPr>
        <w:t>0%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以上課程為全英語授課等目標。在高中方面，補助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50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所高中成立雙語實驗班，補助專任外籍</w:t>
      </w:r>
      <w:r w:rsidRPr="00A921EC">
        <w:rPr>
          <w:rFonts w:ascii="PMingLiu" w:hAnsi="PMingLiu" w:cs="Arial" w:hint="eastAsia"/>
          <w:kern w:val="0"/>
          <w:sz w:val="27"/>
          <w:szCs w:val="27"/>
        </w:rPr>
        <w:lastRenderedPageBreak/>
        <w:t>師和雙語代理教師各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1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名。國中小部分，每年優先為偏鄉聘任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300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名外師；每年增加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100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所學校補助至少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1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個學科推動雙語教學。在師培方面，培育雙語師資大學增至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14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所，年增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500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名雙語教師，每年增能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1000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名教師等。</w:t>
      </w:r>
    </w:p>
    <w:p w:rsidR="00A921EC" w:rsidRPr="00A921EC" w:rsidRDefault="00A921EC" w:rsidP="00191852">
      <w:pPr>
        <w:widowControl/>
        <w:ind w:firstLineChars="200" w:firstLine="540"/>
        <w:rPr>
          <w:rFonts w:ascii="PMingLiu" w:hAnsi="PMingLiu" w:cs="Arial" w:hint="eastAsia"/>
          <w:kern w:val="0"/>
          <w:sz w:val="27"/>
          <w:szCs w:val="27"/>
        </w:rPr>
      </w:pPr>
      <w:r w:rsidRPr="00A921EC">
        <w:rPr>
          <w:rFonts w:ascii="PMingLiu" w:hAnsi="PMingLiu" w:cs="Arial" w:hint="eastAsia"/>
          <w:kern w:val="0"/>
          <w:sz w:val="27"/>
          <w:szCs w:val="27"/>
        </w:rPr>
        <w:t>以上種種都宣示政府實施雙語教育的決心，然而英語學習的雙峰落差現象由來已久，加上城鄉落差、雙語師資、整體英語學習環境等皆尚在整備中，不論政策推動、課程與教學的實施、以及學習成果的評鑑，在大中小學的挑戰皆不同，需要分別加以探究。</w:t>
      </w:r>
    </w:p>
    <w:p w:rsidR="003F4CE2" w:rsidRDefault="00A921EC" w:rsidP="00191852">
      <w:pPr>
        <w:widowControl/>
        <w:ind w:firstLineChars="200" w:firstLine="540"/>
        <w:rPr>
          <w:rFonts w:ascii="PMingLiu" w:hAnsi="PMingLiu" w:cs="Arial" w:hint="eastAsia"/>
          <w:kern w:val="0"/>
          <w:sz w:val="27"/>
          <w:szCs w:val="27"/>
        </w:rPr>
      </w:pPr>
      <w:r w:rsidRPr="00A921EC">
        <w:rPr>
          <w:rFonts w:ascii="PMingLiu" w:hAnsi="PMingLiu" w:cs="Arial" w:hint="eastAsia"/>
          <w:kern w:val="0"/>
          <w:sz w:val="27"/>
          <w:szCs w:val="27"/>
        </w:rPr>
        <w:t>基於</w:t>
      </w:r>
      <w:r w:rsidR="004B3C0F">
        <w:rPr>
          <w:rFonts w:ascii="PMingLiu" w:hAnsi="PMingLiu" w:cs="Arial" w:hint="eastAsia"/>
          <w:kern w:val="0"/>
          <w:sz w:val="27"/>
          <w:szCs w:val="27"/>
        </w:rPr>
        <w:t>對於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上述</w:t>
      </w:r>
      <w:r w:rsidR="00FB2D06">
        <w:rPr>
          <w:rFonts w:ascii="PMingLiu" w:hAnsi="PMingLiu" w:cs="Arial" w:hint="eastAsia"/>
          <w:kern w:val="0"/>
          <w:sz w:val="27"/>
          <w:szCs w:val="27"/>
        </w:rPr>
        <w:t>雙語教育政策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背景</w:t>
      </w:r>
      <w:r w:rsidR="004B3C0F">
        <w:rPr>
          <w:rFonts w:ascii="PMingLiu" w:hAnsi="PMingLiu" w:cs="Arial" w:hint="eastAsia"/>
          <w:kern w:val="0"/>
          <w:sz w:val="27"/>
          <w:szCs w:val="27"/>
        </w:rPr>
        <w:t>與發展動向的關注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，</w:t>
      </w:r>
      <w:r w:rsidR="003F4CE2">
        <w:rPr>
          <w:rFonts w:ascii="PMingLiu" w:hAnsi="PMingLiu" w:cs="Arial" w:hint="eastAsia"/>
          <w:kern w:val="0"/>
          <w:sz w:val="27"/>
          <w:szCs w:val="27"/>
        </w:rPr>
        <w:t>本會將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一年一度的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2022</w:t>
      </w:r>
      <w:r w:rsidRPr="00A921EC">
        <w:rPr>
          <w:rFonts w:ascii="PMingLiu" w:hAnsi="PMingLiu" w:cs="Arial" w:hint="eastAsia"/>
          <w:kern w:val="0"/>
          <w:sz w:val="27"/>
          <w:szCs w:val="27"/>
        </w:rPr>
        <w:t>年專書主題訂為：「雙語教育的政策省思與國際比較」，期望藉由學術專論與交流，喚起教育界對雙語教育政策的深入探討與省思。</w:t>
      </w:r>
    </w:p>
    <w:p w:rsidR="00A809DF" w:rsidRPr="00A809DF" w:rsidRDefault="003F4CE2" w:rsidP="00FB2D06">
      <w:pPr>
        <w:widowControl/>
        <w:ind w:firstLineChars="200" w:firstLine="540"/>
        <w:rPr>
          <w:rFonts w:ascii="Arial" w:hAnsi="Arial" w:cs="Arial"/>
          <w:kern w:val="0"/>
          <w:sz w:val="27"/>
          <w:szCs w:val="27"/>
        </w:rPr>
      </w:pPr>
      <w:r w:rsidRPr="003F4CE2">
        <w:rPr>
          <w:rFonts w:ascii="PMingLiu" w:hAnsi="PMingLiu" w:cs="Arial" w:hint="eastAsia"/>
          <w:kern w:val="0"/>
          <w:sz w:val="27"/>
          <w:szCs w:val="27"/>
        </w:rPr>
        <w:t>臺灣教育評論學會（</w:t>
      </w:r>
      <w:r w:rsidRPr="00C67F72">
        <w:rPr>
          <w:rFonts w:ascii="PMingLiu" w:hAnsi="PMingLiu" w:cs="Arial" w:hint="eastAsia"/>
          <w:color w:val="7030A0"/>
          <w:kern w:val="0"/>
          <w:sz w:val="27"/>
          <w:szCs w:val="27"/>
          <w:u w:val="single"/>
        </w:rPr>
        <w:t>http://www.ater.org.tw/</w:t>
      </w:r>
      <w:r w:rsidRPr="003F4CE2">
        <w:rPr>
          <w:rFonts w:ascii="PMingLiu" w:hAnsi="PMingLiu" w:cs="Arial" w:hint="eastAsia"/>
          <w:kern w:val="0"/>
          <w:sz w:val="27"/>
          <w:szCs w:val="27"/>
        </w:rPr>
        <w:t>；現任理事長為黃政傑終身講座教授）成立於</w:t>
      </w:r>
      <w:r w:rsidRPr="003F4CE2">
        <w:rPr>
          <w:rFonts w:ascii="PMingLiu" w:hAnsi="PMingLiu" w:cs="Arial" w:hint="eastAsia"/>
          <w:kern w:val="0"/>
          <w:sz w:val="27"/>
          <w:szCs w:val="27"/>
        </w:rPr>
        <w:t>2010</w:t>
      </w:r>
      <w:r w:rsidRPr="003F4CE2">
        <w:rPr>
          <w:rFonts w:ascii="PMingLiu" w:hAnsi="PMingLiu" w:cs="Arial" w:hint="eastAsia"/>
          <w:kern w:val="0"/>
          <w:sz w:val="27"/>
          <w:szCs w:val="27"/>
        </w:rPr>
        <w:t>年，一向關注教育的重要發展與動向趨勢</w:t>
      </w:r>
      <w:r>
        <w:rPr>
          <w:rFonts w:ascii="PMingLiu" w:hAnsi="PMingLiu" w:cs="Arial" w:hint="eastAsia"/>
          <w:kern w:val="0"/>
          <w:sz w:val="27"/>
          <w:szCs w:val="27"/>
        </w:rPr>
        <w:t>；</w:t>
      </w:r>
      <w:r w:rsidRPr="003F4CE2">
        <w:rPr>
          <w:rFonts w:ascii="PMingLiu" w:hAnsi="PMingLiu" w:cs="Arial" w:hint="eastAsia"/>
          <w:kern w:val="0"/>
          <w:sz w:val="27"/>
          <w:szCs w:val="27"/>
        </w:rPr>
        <w:t>本學會「臺灣教育評論月刊」</w:t>
      </w:r>
      <w:r w:rsidRPr="003F4CE2">
        <w:rPr>
          <w:rFonts w:ascii="PMingLiu" w:hAnsi="PMingLiu" w:cs="Arial" w:hint="eastAsia"/>
          <w:kern w:val="0"/>
          <w:sz w:val="27"/>
          <w:szCs w:val="27"/>
        </w:rPr>
        <w:t>2021</w:t>
      </w:r>
      <w:r w:rsidRPr="003F4CE2">
        <w:rPr>
          <w:rFonts w:ascii="PMingLiu" w:hAnsi="PMingLiu" w:cs="Arial" w:hint="eastAsia"/>
          <w:kern w:val="0"/>
          <w:sz w:val="27"/>
          <w:szCs w:val="27"/>
        </w:rPr>
        <w:t>年榮獲國家圖書館「臺灣學術資源影響力」期刊資源貢獻獎第一名。</w:t>
      </w:r>
      <w:r w:rsidR="004B3C0F">
        <w:rPr>
          <w:rFonts w:ascii="PMingLiu" w:hAnsi="PMingLiu" w:cs="Arial" w:hint="eastAsia"/>
          <w:kern w:val="0"/>
          <w:sz w:val="27"/>
          <w:szCs w:val="27"/>
        </w:rPr>
        <w:t>此次</w:t>
      </w:r>
      <w:r>
        <w:rPr>
          <w:rFonts w:ascii="PMingLiu" w:hAnsi="PMingLiu" w:cs="Arial" w:hint="eastAsia"/>
          <w:kern w:val="0"/>
          <w:sz w:val="27"/>
          <w:szCs w:val="27"/>
        </w:rPr>
        <w:t>2</w:t>
      </w:r>
      <w:r>
        <w:rPr>
          <w:rFonts w:ascii="PMingLiu" w:hAnsi="PMingLiu" w:cs="Arial"/>
          <w:kern w:val="0"/>
          <w:sz w:val="27"/>
          <w:szCs w:val="27"/>
        </w:rPr>
        <w:t>022</w:t>
      </w:r>
      <w:r>
        <w:rPr>
          <w:rFonts w:ascii="PMingLiu" w:hAnsi="PMingLiu" w:cs="Arial"/>
          <w:kern w:val="0"/>
          <w:sz w:val="27"/>
          <w:szCs w:val="27"/>
        </w:rPr>
        <w:t>年</w:t>
      </w:r>
      <w:r w:rsidR="00C67F72">
        <w:rPr>
          <w:rFonts w:ascii="PMingLiu" w:hAnsi="PMingLiu" w:cs="Arial"/>
          <w:kern w:val="0"/>
          <w:sz w:val="27"/>
          <w:szCs w:val="27"/>
        </w:rPr>
        <w:t>度</w:t>
      </w:r>
      <w:r w:rsidR="00F24301">
        <w:rPr>
          <w:rFonts w:ascii="PMingLiu" w:hAnsi="PMingLiu" w:cs="Arial" w:hint="eastAsia"/>
          <w:kern w:val="0"/>
          <w:sz w:val="27"/>
          <w:szCs w:val="27"/>
        </w:rPr>
        <w:t>專書</w:t>
      </w:r>
      <w:r w:rsidR="00C67F72">
        <w:rPr>
          <w:rFonts w:ascii="PMingLiu" w:hAnsi="PMingLiu" w:cs="Arial" w:hint="eastAsia"/>
          <w:kern w:val="0"/>
          <w:sz w:val="27"/>
          <w:szCs w:val="27"/>
        </w:rPr>
        <w:t>是本會的第十</w:t>
      </w:r>
      <w:r w:rsidR="004B3C0F">
        <w:rPr>
          <w:rFonts w:ascii="PMingLiu" w:hAnsi="PMingLiu" w:cs="Arial" w:hint="eastAsia"/>
          <w:kern w:val="0"/>
          <w:sz w:val="27"/>
          <w:szCs w:val="27"/>
        </w:rPr>
        <w:t>一</w:t>
      </w:r>
      <w:r w:rsidR="00C67F72">
        <w:rPr>
          <w:rFonts w:ascii="PMingLiu" w:hAnsi="PMingLiu" w:cs="Arial" w:hint="eastAsia"/>
          <w:kern w:val="0"/>
          <w:sz w:val="27"/>
          <w:szCs w:val="27"/>
        </w:rPr>
        <w:t>本專書，</w:t>
      </w:r>
      <w:r w:rsidR="004B3C0F" w:rsidRPr="004B3C0F">
        <w:rPr>
          <w:rFonts w:ascii="PMingLiu" w:hAnsi="PMingLiu" w:cs="Arial" w:hint="eastAsia"/>
          <w:kern w:val="0"/>
          <w:sz w:val="27"/>
          <w:szCs w:val="27"/>
        </w:rPr>
        <w:t>特別敦請臺北市立大學方志華教授與葉興華教授主編</w:t>
      </w:r>
      <w:r w:rsidR="004B3C0F">
        <w:rPr>
          <w:rFonts w:ascii="PMingLiu" w:hAnsi="PMingLiu" w:cs="Arial" w:hint="eastAsia"/>
          <w:kern w:val="0"/>
          <w:sz w:val="27"/>
          <w:szCs w:val="27"/>
        </w:rPr>
        <w:t>，</w:t>
      </w:r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預訂</w:t>
      </w:r>
      <w:r w:rsidR="00F24301">
        <w:rPr>
          <w:rFonts w:ascii="PMingLiu" w:hAnsi="PMingLiu" w:cs="Arial" w:hint="eastAsia"/>
          <w:kern w:val="0"/>
          <w:sz w:val="27"/>
          <w:szCs w:val="27"/>
        </w:rPr>
        <w:t>於</w:t>
      </w:r>
      <w:r w:rsidR="00E515A2">
        <w:rPr>
          <w:rFonts w:ascii="PMingLiu" w:hAnsi="PMingLiu" w:cs="Arial" w:hint="eastAsia"/>
          <w:kern w:val="0"/>
          <w:sz w:val="27"/>
          <w:szCs w:val="27"/>
        </w:rPr>
        <w:t>202</w:t>
      </w:r>
      <w:r>
        <w:rPr>
          <w:rFonts w:ascii="PMingLiu" w:hAnsi="PMingLiu" w:cs="Arial"/>
          <w:kern w:val="0"/>
          <w:sz w:val="27"/>
          <w:szCs w:val="27"/>
        </w:rPr>
        <w:t>2</w:t>
      </w:r>
      <w:r w:rsidR="00E515A2">
        <w:rPr>
          <w:rFonts w:ascii="PMingLiu" w:hAnsi="PMingLiu" w:cs="Arial" w:hint="eastAsia"/>
          <w:kern w:val="0"/>
          <w:sz w:val="27"/>
          <w:szCs w:val="27"/>
        </w:rPr>
        <w:t>年</w:t>
      </w:r>
      <w:r w:rsidR="008B5CF8">
        <w:rPr>
          <w:rFonts w:ascii="PMingLiu" w:hAnsi="PMingLiu" w:cs="Arial" w:hint="eastAsia"/>
          <w:kern w:val="0"/>
          <w:sz w:val="27"/>
          <w:szCs w:val="27"/>
        </w:rPr>
        <w:t>9</w:t>
      </w:r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月出版，</w:t>
      </w:r>
      <w:r w:rsidR="00FB2D06">
        <w:rPr>
          <w:rFonts w:ascii="PMingLiu" w:hAnsi="PMingLiu" w:cs="Arial" w:hint="eastAsia"/>
          <w:kern w:val="0"/>
          <w:sz w:val="27"/>
          <w:szCs w:val="27"/>
        </w:rPr>
        <w:t>收納</w:t>
      </w:r>
      <w:r w:rsidR="00F24301">
        <w:rPr>
          <w:rFonts w:ascii="PMingLiu" w:hAnsi="PMingLiu" w:cs="Arial" w:hint="eastAsia"/>
          <w:kern w:val="0"/>
          <w:sz w:val="27"/>
          <w:szCs w:val="27"/>
        </w:rPr>
        <w:t>1</w:t>
      </w:r>
      <w:r w:rsidR="001E0667">
        <w:rPr>
          <w:rFonts w:ascii="PMingLiu" w:hAnsi="PMingLiu" w:cs="Arial"/>
          <w:kern w:val="0"/>
          <w:sz w:val="27"/>
          <w:szCs w:val="27"/>
        </w:rPr>
        <w:t>0</w:t>
      </w:r>
      <w:r w:rsidR="00FB2D06">
        <w:rPr>
          <w:rFonts w:ascii="PMingLiu" w:hAnsi="PMingLiu" w:cs="Arial"/>
          <w:kern w:val="0"/>
          <w:sz w:val="27"/>
          <w:szCs w:val="27"/>
        </w:rPr>
        <w:t>~</w:t>
      </w:r>
      <w:r w:rsidR="00F24301">
        <w:rPr>
          <w:rFonts w:ascii="PMingLiu" w:hAnsi="PMingLiu" w:cs="Arial"/>
          <w:kern w:val="0"/>
          <w:sz w:val="27"/>
          <w:szCs w:val="27"/>
        </w:rPr>
        <w:t>15</w:t>
      </w:r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篇評論專文，兼採邀稿和徵稿。祈願方家先進與專家學者，不吝賜稿以光篇幅</w:t>
      </w:r>
      <w:r w:rsidR="00E515A2">
        <w:rPr>
          <w:rFonts w:ascii="新細明體" w:hAnsi="新細明體" w:cs="Arial" w:hint="eastAsia"/>
          <w:kern w:val="0"/>
          <w:sz w:val="27"/>
          <w:szCs w:val="27"/>
        </w:rPr>
        <w:t>，</w:t>
      </w:r>
      <w:r w:rsidR="00FB2D06">
        <w:rPr>
          <w:rFonts w:ascii="新細明體" w:hAnsi="新細明體" w:cs="Arial" w:hint="eastAsia"/>
          <w:kern w:val="0"/>
          <w:sz w:val="27"/>
          <w:szCs w:val="27"/>
        </w:rPr>
        <w:t>俾</w:t>
      </w:r>
      <w:r w:rsidR="00E515A2">
        <w:rPr>
          <w:rFonts w:ascii="新細明體" w:hAnsi="新細明體" w:cs="Arial" w:hint="eastAsia"/>
          <w:kern w:val="0"/>
          <w:sz w:val="27"/>
          <w:szCs w:val="27"/>
        </w:rPr>
        <w:t>利教育之改善暨品質之提升</w:t>
      </w:r>
      <w:r w:rsidR="00E515A2" w:rsidRPr="00E515A2">
        <w:rPr>
          <w:rFonts w:ascii="PMingLiu" w:hAnsi="PMingLiu" w:cs="Arial" w:hint="eastAsia"/>
          <w:kern w:val="0"/>
          <w:sz w:val="27"/>
          <w:szCs w:val="27"/>
        </w:rPr>
        <w:t>。</w:t>
      </w:r>
    </w:p>
    <w:p w:rsidR="00A809DF" w:rsidRDefault="00A809DF" w:rsidP="00A809DF">
      <w:pPr>
        <w:rPr>
          <w:rFonts w:ascii="PMingLiu" w:hAnsi="PMingLiu" w:hint="eastAsia"/>
          <w:b/>
          <w:bCs/>
          <w:sz w:val="27"/>
          <w:szCs w:val="27"/>
        </w:rPr>
      </w:pPr>
      <w:r w:rsidRPr="00A809DF">
        <w:rPr>
          <w:rFonts w:ascii="Arial" w:hAnsi="Arial"/>
          <w:sz w:val="27"/>
          <w:szCs w:val="27"/>
        </w:rPr>
        <w:br/>
      </w:r>
      <w:r w:rsidRPr="00A809DF">
        <w:rPr>
          <w:rFonts w:ascii="PMingLiu" w:hAnsi="PMingLiu"/>
          <w:b/>
          <w:bCs/>
          <w:sz w:val="27"/>
          <w:szCs w:val="27"/>
        </w:rPr>
        <w:t>三、撰稿重點</w:t>
      </w:r>
    </w:p>
    <w:p w:rsidR="00A921EC" w:rsidRPr="00117999" w:rsidRDefault="00A921EC" w:rsidP="00A921EC">
      <w:pPr>
        <w:rPr>
          <w:rFonts w:eastAsiaTheme="minorEastAsia"/>
          <w:sz w:val="27"/>
          <w:szCs w:val="27"/>
        </w:rPr>
      </w:pPr>
    </w:p>
    <w:p w:rsidR="00A921EC" w:rsidRPr="00117999" w:rsidRDefault="00A921EC" w:rsidP="00A921EC">
      <w:pPr>
        <w:rPr>
          <w:rFonts w:eastAsiaTheme="minorEastAsia"/>
          <w:sz w:val="27"/>
          <w:szCs w:val="27"/>
        </w:rPr>
      </w:pPr>
      <w:r w:rsidRPr="00117999">
        <w:rPr>
          <w:rFonts w:eastAsiaTheme="minorEastAsia" w:hint="eastAsia"/>
          <w:sz w:val="27"/>
          <w:szCs w:val="27"/>
        </w:rPr>
        <w:t>1</w:t>
      </w:r>
      <w:r w:rsidRPr="00117999">
        <w:rPr>
          <w:rFonts w:eastAsiaTheme="minorEastAsia"/>
          <w:sz w:val="27"/>
          <w:szCs w:val="27"/>
        </w:rPr>
        <w:t>.</w:t>
      </w:r>
      <w:r w:rsidRPr="00117999">
        <w:rPr>
          <w:rFonts w:eastAsiaTheme="minorEastAsia" w:hint="eastAsia"/>
          <w:sz w:val="27"/>
          <w:szCs w:val="27"/>
        </w:rPr>
        <w:t>世界各國雙語教育與政策與臺灣模式的比較與評論。</w:t>
      </w:r>
    </w:p>
    <w:p w:rsidR="00A921EC" w:rsidRPr="00117999" w:rsidRDefault="00A921EC" w:rsidP="00A921EC">
      <w:pPr>
        <w:rPr>
          <w:rFonts w:eastAsiaTheme="minorEastAsia"/>
          <w:sz w:val="27"/>
          <w:szCs w:val="27"/>
        </w:rPr>
      </w:pPr>
      <w:r w:rsidRPr="00117999">
        <w:rPr>
          <w:rFonts w:eastAsiaTheme="minorEastAsia" w:hint="eastAsia"/>
          <w:sz w:val="27"/>
          <w:szCs w:val="27"/>
        </w:rPr>
        <w:t>2</w:t>
      </w:r>
      <w:r w:rsidRPr="00117999">
        <w:rPr>
          <w:rFonts w:eastAsiaTheme="minorEastAsia"/>
          <w:sz w:val="27"/>
          <w:szCs w:val="27"/>
        </w:rPr>
        <w:t>.</w:t>
      </w:r>
      <w:r w:rsidRPr="00117999">
        <w:rPr>
          <w:rFonts w:eastAsiaTheme="minorEastAsia" w:hint="eastAsia"/>
          <w:sz w:val="27"/>
          <w:szCs w:val="27"/>
        </w:rPr>
        <w:t>雙語教育在大學、中小學</w:t>
      </w:r>
      <w:r w:rsidRPr="00117999">
        <w:rPr>
          <w:rFonts w:eastAsiaTheme="minorEastAsia" w:hint="eastAsia"/>
          <w:sz w:val="27"/>
          <w:szCs w:val="27"/>
        </w:rPr>
        <w:t>(K-12)</w:t>
      </w:r>
      <w:r w:rsidRPr="00117999">
        <w:rPr>
          <w:rFonts w:eastAsiaTheme="minorEastAsia" w:hint="eastAsia"/>
          <w:sz w:val="27"/>
          <w:szCs w:val="27"/>
        </w:rPr>
        <w:t>政策推動的挑戰與評論。</w:t>
      </w:r>
    </w:p>
    <w:p w:rsidR="00A921EC" w:rsidRPr="00117999" w:rsidRDefault="00A921EC" w:rsidP="00A921EC">
      <w:pPr>
        <w:rPr>
          <w:rFonts w:eastAsiaTheme="minorEastAsia"/>
          <w:sz w:val="27"/>
          <w:szCs w:val="27"/>
        </w:rPr>
      </w:pPr>
      <w:r w:rsidRPr="00117999">
        <w:rPr>
          <w:rFonts w:eastAsiaTheme="minorEastAsia" w:hint="eastAsia"/>
          <w:sz w:val="27"/>
          <w:szCs w:val="27"/>
        </w:rPr>
        <w:t>3</w:t>
      </w:r>
      <w:r w:rsidRPr="00117999">
        <w:rPr>
          <w:rFonts w:eastAsiaTheme="minorEastAsia"/>
          <w:sz w:val="27"/>
          <w:szCs w:val="27"/>
        </w:rPr>
        <w:t>.</w:t>
      </w:r>
      <w:r w:rsidRPr="00117999">
        <w:rPr>
          <w:rFonts w:eastAsiaTheme="minorEastAsia" w:hint="eastAsia"/>
          <w:sz w:val="27"/>
          <w:szCs w:val="27"/>
        </w:rPr>
        <w:t>雙語教育在大學、中小學</w:t>
      </w:r>
      <w:r w:rsidRPr="00117999">
        <w:rPr>
          <w:rFonts w:eastAsiaTheme="minorEastAsia" w:hint="eastAsia"/>
          <w:sz w:val="27"/>
          <w:szCs w:val="27"/>
        </w:rPr>
        <w:t>(K-12)</w:t>
      </w:r>
      <w:r w:rsidRPr="00117999">
        <w:rPr>
          <w:rFonts w:eastAsiaTheme="minorEastAsia" w:hint="eastAsia"/>
          <w:sz w:val="27"/>
          <w:szCs w:val="27"/>
        </w:rPr>
        <w:t>課程與教學的挑戰與評論。</w:t>
      </w:r>
    </w:p>
    <w:p w:rsidR="00A921EC" w:rsidRPr="00117999" w:rsidRDefault="00A921EC" w:rsidP="00A921EC">
      <w:pPr>
        <w:rPr>
          <w:rFonts w:eastAsiaTheme="minorEastAsia"/>
          <w:sz w:val="27"/>
          <w:szCs w:val="27"/>
        </w:rPr>
      </w:pPr>
      <w:r w:rsidRPr="00117999">
        <w:rPr>
          <w:rFonts w:eastAsiaTheme="minorEastAsia" w:hint="eastAsia"/>
          <w:sz w:val="27"/>
          <w:szCs w:val="27"/>
        </w:rPr>
        <w:t>4</w:t>
      </w:r>
      <w:r w:rsidRPr="00117999">
        <w:rPr>
          <w:rFonts w:eastAsiaTheme="minorEastAsia"/>
          <w:sz w:val="27"/>
          <w:szCs w:val="27"/>
        </w:rPr>
        <w:t>.</w:t>
      </w:r>
      <w:r w:rsidRPr="00117999">
        <w:rPr>
          <w:rFonts w:eastAsiaTheme="minorEastAsia" w:hint="eastAsia"/>
          <w:sz w:val="27"/>
          <w:szCs w:val="27"/>
        </w:rPr>
        <w:t>雙語教育師資培育、人力資源與配置的政策、挑戰與評論。</w:t>
      </w:r>
    </w:p>
    <w:p w:rsidR="00A809DF" w:rsidRPr="00117999" w:rsidRDefault="00A921EC" w:rsidP="00A921EC">
      <w:pPr>
        <w:ind w:left="319" w:hangingChars="118" w:hanging="319"/>
        <w:rPr>
          <w:rFonts w:eastAsiaTheme="minorEastAsia"/>
          <w:sz w:val="27"/>
          <w:szCs w:val="27"/>
        </w:rPr>
      </w:pPr>
      <w:r w:rsidRPr="00117999">
        <w:rPr>
          <w:rFonts w:eastAsiaTheme="minorEastAsia" w:hint="eastAsia"/>
          <w:sz w:val="27"/>
          <w:szCs w:val="27"/>
        </w:rPr>
        <w:t>5</w:t>
      </w:r>
      <w:r w:rsidRPr="00117999">
        <w:rPr>
          <w:rFonts w:eastAsiaTheme="minorEastAsia"/>
          <w:sz w:val="27"/>
          <w:szCs w:val="27"/>
        </w:rPr>
        <w:t>.</w:t>
      </w:r>
      <w:r w:rsidRPr="00117999">
        <w:rPr>
          <w:rFonts w:eastAsiaTheme="minorEastAsia" w:hint="eastAsia"/>
          <w:sz w:val="27"/>
          <w:szCs w:val="27"/>
        </w:rPr>
        <w:t>雙語教育在英語學習環境的挑戰與評論</w:t>
      </w:r>
      <w:r w:rsidRPr="00117999">
        <w:rPr>
          <w:rFonts w:eastAsiaTheme="minorEastAsia" w:hint="eastAsia"/>
          <w:sz w:val="27"/>
          <w:szCs w:val="27"/>
        </w:rPr>
        <w:t>(</w:t>
      </w:r>
      <w:r w:rsidRPr="00117999">
        <w:rPr>
          <w:rFonts w:eastAsiaTheme="minorEastAsia" w:hint="eastAsia"/>
          <w:sz w:val="27"/>
          <w:szCs w:val="27"/>
        </w:rPr>
        <w:t>如：外師引進、學習落差、雲端資源、城鄉差距、協同教學機制、評鑑與分流機制等</w:t>
      </w:r>
      <w:r w:rsidRPr="00117999">
        <w:rPr>
          <w:rFonts w:eastAsiaTheme="minorEastAsia" w:hint="eastAsia"/>
          <w:sz w:val="27"/>
          <w:szCs w:val="27"/>
        </w:rPr>
        <w:t>)</w:t>
      </w:r>
      <w:r w:rsidRPr="00117999">
        <w:rPr>
          <w:rFonts w:eastAsiaTheme="minorEastAsia" w:hint="eastAsia"/>
          <w:sz w:val="27"/>
          <w:szCs w:val="27"/>
        </w:rPr>
        <w:t>。</w:t>
      </w:r>
    </w:p>
    <w:p w:rsidR="00A809DF" w:rsidRPr="00117999" w:rsidRDefault="00A809DF" w:rsidP="00A809DF">
      <w:pPr>
        <w:widowControl/>
        <w:rPr>
          <w:rFonts w:ascii="PMingLiu" w:hAnsi="PMingLiu" w:cs="Arial" w:hint="eastAsia"/>
          <w:b/>
          <w:bCs/>
          <w:kern w:val="0"/>
          <w:sz w:val="27"/>
          <w:szCs w:val="27"/>
        </w:rPr>
      </w:pPr>
    </w:p>
    <w:p w:rsidR="0086654F" w:rsidRPr="0086654F" w:rsidRDefault="00A809DF" w:rsidP="00A809DF">
      <w:pPr>
        <w:widowControl/>
        <w:rPr>
          <w:rFonts w:ascii="PMingLiu" w:hAnsi="PMingLiu" w:cs="Arial" w:hint="eastAsia"/>
          <w:kern w:val="0"/>
          <w:sz w:val="27"/>
          <w:szCs w:val="27"/>
        </w:rPr>
      </w:pP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四、</w:t>
      </w:r>
      <w:r w:rsidR="007637F0">
        <w:rPr>
          <w:rFonts w:ascii="PMingLiu" w:hAnsi="PMingLiu" w:cs="Arial"/>
          <w:b/>
          <w:bCs/>
          <w:kern w:val="0"/>
          <w:sz w:val="27"/>
          <w:szCs w:val="27"/>
        </w:rPr>
        <w:t>體例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與字數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  <w:r w:rsidRPr="001F2022">
        <w:rPr>
          <w:rFonts w:ascii="PMingLiu" w:hAnsi="PMingLiu" w:cs="Arial"/>
          <w:kern w:val="0"/>
          <w:sz w:val="27"/>
          <w:szCs w:val="27"/>
          <w:shd w:val="pct15" w:color="auto" w:fill="FFFFFF"/>
        </w:rPr>
        <w:br/>
      </w:r>
      <w:r w:rsidR="0086654F" w:rsidRPr="0086654F">
        <w:rPr>
          <w:rFonts w:ascii="PMingLiu" w:hAnsi="PMingLiu" w:cs="Arial" w:hint="eastAsia"/>
          <w:kern w:val="0"/>
          <w:sz w:val="27"/>
          <w:szCs w:val="27"/>
        </w:rPr>
        <w:t>1</w:t>
      </w:r>
      <w:r w:rsidR="0086654F" w:rsidRPr="0086654F">
        <w:rPr>
          <w:rFonts w:ascii="PMingLiu" w:hAnsi="PMingLiu" w:cs="Arial"/>
          <w:kern w:val="0"/>
          <w:sz w:val="27"/>
          <w:szCs w:val="27"/>
        </w:rPr>
        <w:t>.</w:t>
      </w:r>
      <w:r w:rsidRPr="0086654F">
        <w:rPr>
          <w:rFonts w:ascii="PMingLiu" w:hAnsi="PMingLiu" w:cs="Arial"/>
          <w:kern w:val="0"/>
          <w:sz w:val="27"/>
          <w:szCs w:val="27"/>
        </w:rPr>
        <w:t>評論時請</w:t>
      </w:r>
      <w:r w:rsidR="0086654F">
        <w:rPr>
          <w:rFonts w:ascii="PMingLiu" w:hAnsi="PMingLiu" w:cs="Arial"/>
          <w:kern w:val="0"/>
          <w:sz w:val="27"/>
          <w:szCs w:val="27"/>
        </w:rPr>
        <w:t>參考</w:t>
      </w:r>
      <w:r w:rsidRPr="0086654F">
        <w:rPr>
          <w:rFonts w:ascii="PMingLiu" w:hAnsi="PMingLiu" w:cs="Arial"/>
          <w:kern w:val="0"/>
          <w:sz w:val="27"/>
          <w:szCs w:val="27"/>
        </w:rPr>
        <w:t>HBR(Harvard Business Review)</w:t>
      </w:r>
      <w:r w:rsidR="0086654F">
        <w:rPr>
          <w:rFonts w:ascii="PMingLiu" w:hAnsi="PMingLiu" w:cs="Arial"/>
          <w:kern w:val="0"/>
          <w:sz w:val="27"/>
          <w:szCs w:val="27"/>
        </w:rPr>
        <w:t>提出</w:t>
      </w:r>
      <w:r w:rsidR="0086654F" w:rsidRPr="0086654F">
        <w:rPr>
          <w:rFonts w:ascii="PMingLiu" w:hAnsi="PMingLiu" w:cs="Arial"/>
          <w:kern w:val="0"/>
          <w:sz w:val="27"/>
          <w:szCs w:val="27"/>
        </w:rPr>
        <w:t>的</w:t>
      </w:r>
      <w:r w:rsidRPr="0086654F">
        <w:rPr>
          <w:rFonts w:ascii="PMingLiu" w:hAnsi="PMingLiu" w:cs="Arial"/>
          <w:kern w:val="0"/>
          <w:sz w:val="27"/>
          <w:szCs w:val="27"/>
        </w:rPr>
        <w:t>風格</w:t>
      </w:r>
    </w:p>
    <w:p w:rsidR="0086654F" w:rsidRPr="0086654F" w:rsidRDefault="0086654F" w:rsidP="00A809DF">
      <w:pPr>
        <w:widowControl/>
        <w:rPr>
          <w:rFonts w:ascii="PMingLiu" w:hAnsi="PMingLiu" w:cs="Arial" w:hint="eastAsia"/>
          <w:kern w:val="0"/>
          <w:sz w:val="27"/>
          <w:szCs w:val="27"/>
        </w:rPr>
      </w:pPr>
      <w:r w:rsidRPr="0086654F">
        <w:rPr>
          <w:rFonts w:ascii="PMingLiu" w:hAnsi="PMingLiu" w:cs="Arial"/>
          <w:kern w:val="0"/>
          <w:sz w:val="27"/>
          <w:szCs w:val="27"/>
        </w:rPr>
        <w:t>—</w:t>
      </w:r>
      <w:r w:rsidR="001F2022" w:rsidRPr="0086654F">
        <w:rPr>
          <w:rFonts w:ascii="PMingLiu" w:hAnsi="PMingLiu" w:cs="Arial"/>
          <w:kern w:val="0"/>
          <w:sz w:val="27"/>
          <w:szCs w:val="27"/>
        </w:rPr>
        <w:t>具專業性</w:t>
      </w:r>
      <w:r w:rsidR="001F2022" w:rsidRPr="0086654F">
        <w:rPr>
          <w:rFonts w:ascii="新細明體" w:hAnsi="新細明體" w:cs="Arial" w:hint="eastAsia"/>
          <w:kern w:val="0"/>
          <w:sz w:val="27"/>
          <w:szCs w:val="27"/>
        </w:rPr>
        <w:t>、</w:t>
      </w:r>
      <w:r w:rsidR="001F2022" w:rsidRPr="0086654F">
        <w:rPr>
          <w:rFonts w:ascii="PMingLiu" w:hAnsi="PMingLiu" w:cs="Arial"/>
          <w:kern w:val="0"/>
          <w:sz w:val="27"/>
          <w:szCs w:val="27"/>
        </w:rPr>
        <w:t>有憑有據</w:t>
      </w:r>
      <w:r w:rsidR="001F2022" w:rsidRPr="0086654F">
        <w:rPr>
          <w:rFonts w:ascii="新細明體" w:hAnsi="新細明體" w:cs="Arial" w:hint="eastAsia"/>
          <w:kern w:val="0"/>
          <w:sz w:val="27"/>
          <w:szCs w:val="27"/>
        </w:rPr>
        <w:t>、</w:t>
      </w:r>
      <w:r w:rsidR="001F2022" w:rsidRPr="0086654F">
        <w:rPr>
          <w:rFonts w:ascii="PMingLiu" w:hAnsi="PMingLiu" w:cs="Arial"/>
          <w:kern w:val="0"/>
          <w:sz w:val="27"/>
          <w:szCs w:val="27"/>
        </w:rPr>
        <w:t>原創</w:t>
      </w:r>
      <w:r w:rsidR="001F2022" w:rsidRPr="0086654F">
        <w:rPr>
          <w:rFonts w:ascii="新細明體" w:hAnsi="新細明體" w:cs="Arial" w:hint="eastAsia"/>
          <w:kern w:val="0"/>
          <w:sz w:val="27"/>
          <w:szCs w:val="27"/>
        </w:rPr>
        <w:t>、應</w:t>
      </w:r>
      <w:r w:rsidR="001F2022" w:rsidRPr="0086654F">
        <w:rPr>
          <w:rFonts w:ascii="PMingLiu" w:hAnsi="PMingLiu" w:cs="Arial"/>
          <w:kern w:val="0"/>
          <w:sz w:val="27"/>
          <w:szCs w:val="27"/>
        </w:rPr>
        <w:t>用性</w:t>
      </w:r>
      <w:r w:rsidR="001F2022" w:rsidRPr="0086654F">
        <w:rPr>
          <w:rFonts w:ascii="新細明體" w:hAnsi="新細明體" w:cs="Arial" w:hint="eastAsia"/>
          <w:kern w:val="0"/>
          <w:sz w:val="27"/>
          <w:szCs w:val="27"/>
        </w:rPr>
        <w:t>、</w:t>
      </w:r>
      <w:r w:rsidR="001F2022" w:rsidRPr="0086654F">
        <w:rPr>
          <w:rFonts w:ascii="PMingLiu" w:hAnsi="PMingLiu" w:cs="Arial"/>
          <w:kern w:val="0"/>
          <w:sz w:val="27"/>
          <w:szCs w:val="27"/>
        </w:rPr>
        <w:t>說服力和流暢性</w:t>
      </w:r>
      <w:r w:rsidRPr="0086654F">
        <w:rPr>
          <w:rFonts w:ascii="PMingLiu" w:hAnsi="PMingLiu" w:cs="Arial"/>
          <w:kern w:val="0"/>
          <w:sz w:val="27"/>
          <w:szCs w:val="27"/>
        </w:rPr>
        <w:t>。</w:t>
      </w:r>
    </w:p>
    <w:p w:rsidR="001F2022" w:rsidRPr="0086654F" w:rsidRDefault="00A809DF" w:rsidP="00A809DF">
      <w:pPr>
        <w:widowControl/>
        <w:rPr>
          <w:rFonts w:ascii="PMingLiu" w:hAnsi="PMingLiu" w:cs="Arial" w:hint="eastAsia"/>
          <w:kern w:val="0"/>
          <w:sz w:val="27"/>
          <w:szCs w:val="27"/>
        </w:rPr>
      </w:pPr>
      <w:r w:rsidRPr="0086654F">
        <w:rPr>
          <w:rFonts w:ascii="PMingLiu" w:hAnsi="PMingLiu" w:cs="Arial"/>
          <w:kern w:val="0"/>
          <w:sz w:val="27"/>
          <w:szCs w:val="27"/>
        </w:rPr>
        <w:t>（</w:t>
      </w:r>
      <w:r w:rsidR="0086654F">
        <w:rPr>
          <w:rFonts w:ascii="PMingLiu" w:hAnsi="PMingLiu" w:cs="Arial"/>
          <w:kern w:val="0"/>
          <w:sz w:val="27"/>
          <w:szCs w:val="27"/>
        </w:rPr>
        <w:t>可</w:t>
      </w:r>
      <w:r w:rsidRPr="0086654F">
        <w:rPr>
          <w:rFonts w:ascii="PMingLiu" w:hAnsi="PMingLiu" w:cs="Arial"/>
          <w:kern w:val="0"/>
          <w:sz w:val="27"/>
          <w:szCs w:val="27"/>
        </w:rPr>
        <w:t>參</w:t>
      </w:r>
      <w:hyperlink r:id="rId7" w:tgtFrame="_blank" w:history="1">
        <w:r w:rsidRPr="00C67F72">
          <w:rPr>
            <w:rFonts w:ascii="PMingLiu" w:hAnsi="PMingLiu" w:cs="Arial"/>
            <w:color w:val="7030A0"/>
            <w:kern w:val="0"/>
            <w:sz w:val="27"/>
            <w:szCs w:val="27"/>
            <w:u w:val="single"/>
          </w:rPr>
          <w:t>http://hbr.org/guidelines-for-authors-hbr</w:t>
        </w:r>
      </w:hyperlink>
      <w:r w:rsidR="001F2022" w:rsidRPr="0086654F">
        <w:rPr>
          <w:rFonts w:ascii="PMingLiu" w:hAnsi="PMingLiu" w:cs="Arial"/>
          <w:kern w:val="0"/>
          <w:sz w:val="27"/>
          <w:szCs w:val="27"/>
        </w:rPr>
        <w:t>）</w:t>
      </w:r>
    </w:p>
    <w:p w:rsidR="00A809DF" w:rsidRPr="0086654F" w:rsidRDefault="00A809DF" w:rsidP="00A809DF">
      <w:pPr>
        <w:widowControl/>
        <w:rPr>
          <w:rFonts w:ascii="PMingLiu" w:hAnsi="PMingLiu" w:cs="Arial" w:hint="eastAsia"/>
          <w:kern w:val="0"/>
          <w:sz w:val="27"/>
          <w:szCs w:val="27"/>
        </w:rPr>
      </w:pPr>
      <w:r w:rsidRPr="0086654F">
        <w:rPr>
          <w:rFonts w:ascii="PMingLiu" w:hAnsi="PMingLiu" w:cs="Arial"/>
          <w:kern w:val="0"/>
          <w:sz w:val="27"/>
          <w:szCs w:val="27"/>
        </w:rPr>
        <w:t>和</w:t>
      </w:r>
      <w:r w:rsidR="0086654F" w:rsidRPr="0086654F">
        <w:rPr>
          <w:rFonts w:ascii="PMingLiu" w:hAnsi="PMingLiu" w:cs="Arial"/>
          <w:kern w:val="0"/>
          <w:sz w:val="27"/>
          <w:szCs w:val="27"/>
        </w:rPr>
        <w:t>（</w:t>
      </w:r>
      <w:hyperlink r:id="rId8" w:history="1">
        <w:r w:rsidR="0086654F" w:rsidRPr="00C67F72">
          <w:rPr>
            <w:rStyle w:val="a4"/>
            <w:rFonts w:ascii="PMingLiu" w:hAnsi="PMingLiu" w:cs="Arial"/>
            <w:kern w:val="0"/>
            <w:sz w:val="27"/>
            <w:szCs w:val="27"/>
          </w:rPr>
          <w:t>http://www.hbrtaiwan.com/</w:t>
        </w:r>
      </w:hyperlink>
      <w:r w:rsidRPr="0086654F">
        <w:rPr>
          <w:rFonts w:ascii="PMingLiu" w:hAnsi="PMingLiu" w:cs="Arial"/>
          <w:kern w:val="0"/>
          <w:sz w:val="27"/>
          <w:szCs w:val="27"/>
        </w:rPr>
        <w:t>）</w:t>
      </w:r>
    </w:p>
    <w:p w:rsidR="00191852" w:rsidRDefault="00191852" w:rsidP="00A809DF">
      <w:pPr>
        <w:widowControl/>
        <w:rPr>
          <w:rFonts w:ascii="PMingLiu" w:hAnsi="PMingLiu" w:cs="Arial" w:hint="eastAsia"/>
          <w:kern w:val="0"/>
          <w:sz w:val="27"/>
          <w:szCs w:val="27"/>
        </w:rPr>
      </w:pPr>
    </w:p>
    <w:p w:rsidR="00A809DF" w:rsidRPr="00A809DF" w:rsidRDefault="0086654F" w:rsidP="00A809DF">
      <w:pPr>
        <w:widowControl/>
        <w:rPr>
          <w:rFonts w:ascii="Arial" w:hAnsi="Arial" w:cs="Arial"/>
          <w:kern w:val="0"/>
        </w:rPr>
      </w:pPr>
      <w:r>
        <w:rPr>
          <w:rFonts w:ascii="PMingLiu" w:hAnsi="PMingLiu" w:cs="Arial"/>
          <w:kern w:val="0"/>
          <w:sz w:val="27"/>
          <w:szCs w:val="27"/>
        </w:rPr>
        <w:t>2</w:t>
      </w:r>
      <w:r w:rsidR="001F2022">
        <w:rPr>
          <w:rFonts w:ascii="PMingLiu" w:hAnsi="PMingLiu" w:cs="Arial"/>
          <w:kern w:val="0"/>
          <w:sz w:val="27"/>
          <w:szCs w:val="27"/>
        </w:rPr>
        <w:t>.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以中文撰寫；體例請按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APA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第</w:t>
      </w:r>
      <w:r w:rsidR="004B2D0C">
        <w:rPr>
          <w:rFonts w:ascii="PMingLiu" w:hAnsi="PMingLiu" w:cs="Arial" w:hint="eastAsia"/>
          <w:kern w:val="0"/>
          <w:sz w:val="27"/>
          <w:szCs w:val="27"/>
        </w:rPr>
        <w:t>7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版</w:t>
      </w:r>
    </w:p>
    <w:p w:rsidR="004B2D0C" w:rsidRPr="00A809DF" w:rsidRDefault="00A809DF" w:rsidP="00A809DF">
      <w:pPr>
        <w:widowControl/>
        <w:rPr>
          <w:rFonts w:ascii="Arial" w:hAnsi="Arial" w:cs="Arial"/>
          <w:kern w:val="0"/>
        </w:rPr>
      </w:pPr>
      <w:r w:rsidRPr="00A809DF">
        <w:rPr>
          <w:rFonts w:ascii="PMingLiu" w:hAnsi="PMingLiu" w:cs="Arial"/>
          <w:kern w:val="0"/>
          <w:sz w:val="27"/>
          <w:szCs w:val="27"/>
        </w:rPr>
        <w:lastRenderedPageBreak/>
        <w:t>請參</w:t>
      </w:r>
      <w:hyperlink r:id="rId9" w:tgtFrame="_blank" w:history="1">
        <w:r w:rsidRPr="00C67F72">
          <w:rPr>
            <w:rFonts w:ascii="PMingLiu" w:hAnsi="PMingLiu" w:cs="Arial"/>
            <w:color w:val="7030A0"/>
            <w:kern w:val="0"/>
            <w:sz w:val="27"/>
            <w:szCs w:val="27"/>
            <w:u w:val="single"/>
          </w:rPr>
          <w:t>http://owl.english.purdue.edu/owl/resource/560/01/</w:t>
        </w:r>
      </w:hyperlink>
      <w:r w:rsidR="004B2D0C">
        <w:rPr>
          <w:rFonts w:ascii="PMingLiu" w:hAnsi="PMingLiu" w:cs="Arial"/>
          <w:kern w:val="0"/>
          <w:sz w:val="27"/>
          <w:szCs w:val="27"/>
        </w:rPr>
        <w:t>，</w:t>
      </w:r>
      <w:r w:rsidR="004B2D0C">
        <w:rPr>
          <w:rFonts w:ascii="Arial" w:hAnsi="Arial" w:cs="Arial" w:hint="eastAsia"/>
          <w:kern w:val="0"/>
        </w:rPr>
        <w:t>或中文版說明。</w:t>
      </w:r>
    </w:p>
    <w:p w:rsidR="00191852" w:rsidRDefault="00191852" w:rsidP="00A809DF">
      <w:pPr>
        <w:widowControl/>
        <w:rPr>
          <w:rFonts w:ascii="PMingLiu" w:hAnsi="PMingLiu" w:cs="Arial" w:hint="eastAsia"/>
          <w:kern w:val="0"/>
          <w:sz w:val="27"/>
          <w:szCs w:val="27"/>
        </w:rPr>
      </w:pPr>
    </w:p>
    <w:p w:rsidR="00A809DF" w:rsidRPr="00A809DF" w:rsidRDefault="0086654F" w:rsidP="00A809DF">
      <w:pPr>
        <w:widowControl/>
        <w:rPr>
          <w:rFonts w:ascii="Arial" w:hAnsi="Arial" w:cs="Arial"/>
          <w:kern w:val="0"/>
        </w:rPr>
      </w:pPr>
      <w:r>
        <w:rPr>
          <w:rFonts w:ascii="PMingLiu" w:hAnsi="PMingLiu" w:cs="Arial"/>
          <w:kern w:val="0"/>
          <w:sz w:val="27"/>
          <w:szCs w:val="27"/>
        </w:rPr>
        <w:t>3</w:t>
      </w:r>
      <w:r w:rsidR="001F2022">
        <w:rPr>
          <w:rFonts w:ascii="PMingLiu" w:hAnsi="PMingLiu" w:cs="Arial"/>
          <w:kern w:val="0"/>
          <w:sz w:val="27"/>
          <w:szCs w:val="27"/>
        </w:rPr>
        <w:t>.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文長以</w:t>
      </w:r>
      <w:r w:rsidR="00873493">
        <w:rPr>
          <w:rFonts w:ascii="PMingLiu" w:hAnsi="PMingLiu" w:cs="Arial" w:hint="eastAsia"/>
          <w:kern w:val="0"/>
          <w:sz w:val="27"/>
          <w:szCs w:val="27"/>
        </w:rPr>
        <w:t>6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,000-</w:t>
      </w:r>
      <w:r w:rsidR="00F24301">
        <w:rPr>
          <w:rFonts w:ascii="PMingLiu" w:hAnsi="PMingLiu" w:cs="Arial"/>
          <w:kern w:val="0"/>
          <w:sz w:val="27"/>
          <w:szCs w:val="27"/>
        </w:rPr>
        <w:t>1</w:t>
      </w:r>
      <w:r w:rsidR="00191852">
        <w:rPr>
          <w:rFonts w:ascii="PMingLiu" w:hAnsi="PMingLiu" w:cs="Arial"/>
          <w:kern w:val="0"/>
          <w:sz w:val="27"/>
          <w:szCs w:val="27"/>
        </w:rPr>
        <w:t>0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,000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字為限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(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含參考文獻和圖表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)</w:t>
      </w:r>
      <w:r w:rsidR="00A809DF" w:rsidRPr="00A809DF">
        <w:rPr>
          <w:rFonts w:ascii="PMingLiu" w:hAnsi="PMingLiu" w:cs="Arial"/>
          <w:kern w:val="0"/>
          <w:sz w:val="27"/>
          <w:szCs w:val="27"/>
        </w:rPr>
        <w:t>。</w:t>
      </w:r>
    </w:p>
    <w:p w:rsidR="00A809DF" w:rsidRPr="00F24301" w:rsidRDefault="00A809DF" w:rsidP="00A809DF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</w:p>
    <w:p w:rsidR="00191852" w:rsidRDefault="00A809DF" w:rsidP="00A809DF">
      <w:pPr>
        <w:rPr>
          <w:color w:val="FF0000"/>
          <w:kern w:val="0"/>
          <w:sz w:val="27"/>
          <w:szCs w:val="27"/>
        </w:rPr>
      </w:pPr>
      <w:r w:rsidRPr="00A809DF">
        <w:rPr>
          <w:rFonts w:ascii="PMingLiu" w:hAnsi="PMingLiu" w:cs="Arial"/>
          <w:b/>
          <w:bCs/>
          <w:kern w:val="0"/>
          <w:sz w:val="27"/>
          <w:szCs w:val="27"/>
        </w:rPr>
        <w:t>五、截稿日期</w:t>
      </w:r>
      <w:r w:rsidRPr="00A809DF">
        <w:rPr>
          <w:rFonts w:ascii="PMingLiu" w:hAnsi="PMingLiu" w:cs="Arial"/>
          <w:b/>
          <w:bCs/>
          <w:kern w:val="0"/>
          <w:sz w:val="27"/>
          <w:szCs w:val="27"/>
        </w:rPr>
        <w:br/>
      </w:r>
    </w:p>
    <w:p w:rsidR="00A809DF" w:rsidRPr="008C6388" w:rsidRDefault="001F3B56" w:rsidP="00A809DF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  <w:r w:rsidRPr="008C6388">
        <w:rPr>
          <w:rFonts w:hint="eastAsia"/>
          <w:kern w:val="0"/>
          <w:sz w:val="27"/>
          <w:szCs w:val="27"/>
        </w:rPr>
        <w:t>20</w:t>
      </w:r>
      <w:r w:rsidR="00F24301" w:rsidRPr="008C6388">
        <w:rPr>
          <w:kern w:val="0"/>
          <w:sz w:val="27"/>
          <w:szCs w:val="27"/>
        </w:rPr>
        <w:t>22</w:t>
      </w:r>
      <w:r w:rsidR="00A809DF" w:rsidRPr="008C6388">
        <w:rPr>
          <w:rFonts w:ascii="PMingLiu" w:hAnsi="PMingLiu" w:cs="Arial"/>
          <w:kern w:val="0"/>
          <w:sz w:val="27"/>
          <w:szCs w:val="27"/>
        </w:rPr>
        <w:t>年</w:t>
      </w:r>
      <w:r w:rsidR="00F24301" w:rsidRPr="008C6388">
        <w:rPr>
          <w:rFonts w:ascii="PMingLiu" w:hAnsi="PMingLiu" w:cs="Arial" w:hint="eastAsia"/>
          <w:kern w:val="0"/>
          <w:sz w:val="27"/>
          <w:szCs w:val="27"/>
        </w:rPr>
        <w:t>0</w:t>
      </w:r>
      <w:r w:rsidRPr="008C6388">
        <w:rPr>
          <w:rFonts w:hint="eastAsia"/>
          <w:kern w:val="0"/>
          <w:sz w:val="27"/>
          <w:szCs w:val="27"/>
        </w:rPr>
        <w:t>1</w:t>
      </w:r>
      <w:r w:rsidR="00A809DF" w:rsidRPr="008C6388">
        <w:rPr>
          <w:rFonts w:ascii="PMingLiu" w:hAnsi="PMingLiu" w:cs="Arial"/>
          <w:kern w:val="0"/>
          <w:sz w:val="27"/>
          <w:szCs w:val="27"/>
        </w:rPr>
        <w:t>月</w:t>
      </w:r>
      <w:r w:rsidR="00F24301" w:rsidRPr="008C6388">
        <w:rPr>
          <w:rFonts w:ascii="PMingLiu" w:hAnsi="PMingLiu" w:cs="Arial" w:hint="eastAsia"/>
          <w:kern w:val="0"/>
          <w:sz w:val="27"/>
          <w:szCs w:val="27"/>
        </w:rPr>
        <w:t>3</w:t>
      </w:r>
      <w:r w:rsidR="00F24301" w:rsidRPr="008C6388">
        <w:rPr>
          <w:rFonts w:ascii="PMingLiu" w:hAnsi="PMingLiu" w:cs="Arial"/>
          <w:kern w:val="0"/>
          <w:sz w:val="27"/>
          <w:szCs w:val="27"/>
        </w:rPr>
        <w:t>1</w:t>
      </w:r>
      <w:r w:rsidR="00A809DF" w:rsidRPr="008C6388">
        <w:rPr>
          <w:rFonts w:ascii="PMingLiu" w:hAnsi="PMingLiu" w:cs="Arial"/>
          <w:kern w:val="0"/>
          <w:sz w:val="27"/>
          <w:szCs w:val="27"/>
        </w:rPr>
        <w:t>日。</w:t>
      </w:r>
      <w:r w:rsidR="00A809DF" w:rsidRPr="008C6388">
        <w:rPr>
          <w:rFonts w:ascii="PMingLiu" w:hAnsi="PMingLiu" w:cs="Arial"/>
          <w:kern w:val="0"/>
          <w:sz w:val="27"/>
          <w:szCs w:val="27"/>
        </w:rPr>
        <w:br/>
      </w:r>
    </w:p>
    <w:p w:rsidR="00191852" w:rsidRPr="00617832" w:rsidRDefault="00A809DF" w:rsidP="00A809DF">
      <w:pPr>
        <w:rPr>
          <w:color w:val="FF0000"/>
          <w:kern w:val="0"/>
          <w:sz w:val="27"/>
          <w:szCs w:val="27"/>
        </w:rPr>
      </w:pPr>
      <w:r w:rsidRPr="00617832">
        <w:rPr>
          <w:b/>
          <w:bCs/>
          <w:kern w:val="0"/>
          <w:sz w:val="27"/>
          <w:szCs w:val="27"/>
        </w:rPr>
        <w:t>六、預訂出版日期</w:t>
      </w:r>
      <w:r w:rsidRPr="00617832">
        <w:rPr>
          <w:b/>
          <w:bCs/>
          <w:kern w:val="0"/>
          <w:sz w:val="27"/>
          <w:szCs w:val="27"/>
        </w:rPr>
        <w:br/>
      </w:r>
    </w:p>
    <w:p w:rsidR="00617832" w:rsidRPr="00C67F72" w:rsidRDefault="001F3B56" w:rsidP="00A809DF">
      <w:pPr>
        <w:rPr>
          <w:kern w:val="0"/>
          <w:sz w:val="27"/>
          <w:szCs w:val="27"/>
        </w:rPr>
      </w:pPr>
      <w:r w:rsidRPr="00C67F72">
        <w:rPr>
          <w:kern w:val="0"/>
          <w:sz w:val="27"/>
          <w:szCs w:val="27"/>
        </w:rPr>
        <w:t>202</w:t>
      </w:r>
      <w:r w:rsidR="00F24301" w:rsidRPr="00C67F72">
        <w:rPr>
          <w:kern w:val="0"/>
          <w:sz w:val="27"/>
          <w:szCs w:val="27"/>
        </w:rPr>
        <w:t>2</w:t>
      </w:r>
      <w:r w:rsidR="00F00C86" w:rsidRPr="00C67F72">
        <w:rPr>
          <w:kern w:val="0"/>
          <w:sz w:val="27"/>
          <w:szCs w:val="27"/>
        </w:rPr>
        <w:t>年</w:t>
      </w:r>
      <w:r w:rsidRPr="00C67F72">
        <w:rPr>
          <w:kern w:val="0"/>
          <w:sz w:val="27"/>
          <w:szCs w:val="27"/>
        </w:rPr>
        <w:t>0</w:t>
      </w:r>
      <w:r w:rsidR="00873493" w:rsidRPr="00C67F72">
        <w:rPr>
          <w:kern w:val="0"/>
          <w:sz w:val="27"/>
          <w:szCs w:val="27"/>
        </w:rPr>
        <w:t>9</w:t>
      </w:r>
      <w:r w:rsidR="00F00C86" w:rsidRPr="00C67F72">
        <w:rPr>
          <w:kern w:val="0"/>
          <w:sz w:val="27"/>
          <w:szCs w:val="27"/>
        </w:rPr>
        <w:t>月</w:t>
      </w:r>
      <w:r w:rsidRPr="00C67F72">
        <w:rPr>
          <w:kern w:val="0"/>
          <w:sz w:val="27"/>
          <w:szCs w:val="27"/>
        </w:rPr>
        <w:t>01</w:t>
      </w:r>
      <w:r w:rsidR="00F00C86" w:rsidRPr="00C67F72">
        <w:rPr>
          <w:kern w:val="0"/>
          <w:sz w:val="27"/>
          <w:szCs w:val="27"/>
        </w:rPr>
        <w:t>日。</w:t>
      </w:r>
      <w:r w:rsidR="00F00C86" w:rsidRPr="00617832">
        <w:rPr>
          <w:color w:val="FF0000"/>
          <w:kern w:val="0"/>
          <w:sz w:val="27"/>
          <w:szCs w:val="27"/>
        </w:rPr>
        <w:br/>
      </w:r>
      <w:r w:rsidR="00A809DF" w:rsidRPr="00617832">
        <w:rPr>
          <w:kern w:val="0"/>
          <w:sz w:val="27"/>
          <w:szCs w:val="27"/>
        </w:rPr>
        <w:br/>
      </w:r>
      <w:r w:rsidR="00A809DF" w:rsidRPr="00617832">
        <w:rPr>
          <w:b/>
          <w:bCs/>
          <w:kern w:val="0"/>
          <w:sz w:val="27"/>
          <w:szCs w:val="27"/>
        </w:rPr>
        <w:t>七、作者贈書</w:t>
      </w:r>
      <w:r w:rsidR="00A809DF" w:rsidRPr="00617832">
        <w:rPr>
          <w:b/>
          <w:bCs/>
          <w:kern w:val="0"/>
          <w:sz w:val="27"/>
          <w:szCs w:val="27"/>
        </w:rPr>
        <w:br/>
      </w:r>
      <w:r w:rsidR="00A809DF" w:rsidRPr="00617832">
        <w:rPr>
          <w:kern w:val="0"/>
          <w:sz w:val="27"/>
          <w:szCs w:val="27"/>
        </w:rPr>
        <w:br/>
      </w:r>
      <w:r w:rsidR="00415645" w:rsidRPr="00617832">
        <w:rPr>
          <w:kern w:val="0"/>
          <w:sz w:val="27"/>
          <w:szCs w:val="27"/>
        </w:rPr>
        <w:t>來稿經審查收錄者，臺灣教育評論學會將致贈專書</w:t>
      </w:r>
      <w:r w:rsidR="008C6388">
        <w:rPr>
          <w:kern w:val="0"/>
          <w:sz w:val="27"/>
          <w:szCs w:val="27"/>
        </w:rPr>
        <w:t>兩</w:t>
      </w:r>
      <w:r w:rsidR="00A809DF" w:rsidRPr="00617832">
        <w:rPr>
          <w:kern w:val="0"/>
          <w:sz w:val="27"/>
          <w:szCs w:val="27"/>
        </w:rPr>
        <w:t>冊，不另致贈稿酬。</w:t>
      </w:r>
      <w:r w:rsidR="00A809DF" w:rsidRPr="00617832">
        <w:rPr>
          <w:kern w:val="0"/>
          <w:sz w:val="27"/>
          <w:szCs w:val="27"/>
        </w:rPr>
        <w:br/>
      </w:r>
      <w:r w:rsidR="00A809DF" w:rsidRPr="00617832">
        <w:rPr>
          <w:kern w:val="0"/>
          <w:sz w:val="27"/>
          <w:szCs w:val="27"/>
        </w:rPr>
        <w:br/>
      </w:r>
      <w:r w:rsidR="00A809DF" w:rsidRPr="00617832">
        <w:rPr>
          <w:b/>
          <w:bCs/>
          <w:kern w:val="0"/>
          <w:sz w:val="27"/>
          <w:szCs w:val="27"/>
        </w:rPr>
        <w:t>八、投稿方式</w:t>
      </w:r>
      <w:r w:rsidR="00A809DF" w:rsidRPr="00617832">
        <w:rPr>
          <w:b/>
          <w:bCs/>
          <w:kern w:val="0"/>
          <w:sz w:val="27"/>
          <w:szCs w:val="27"/>
        </w:rPr>
        <w:br/>
      </w:r>
      <w:r w:rsidR="00A809DF" w:rsidRPr="00617832">
        <w:rPr>
          <w:kern w:val="0"/>
          <w:sz w:val="27"/>
          <w:szCs w:val="27"/>
        </w:rPr>
        <w:br/>
      </w:r>
      <w:r w:rsidR="00A809DF" w:rsidRPr="00C67F72">
        <w:rPr>
          <w:kern w:val="0"/>
          <w:sz w:val="27"/>
          <w:szCs w:val="27"/>
        </w:rPr>
        <w:t>來稿</w:t>
      </w:r>
      <w:r w:rsidR="00617832" w:rsidRPr="00C67F72">
        <w:rPr>
          <w:rFonts w:hint="eastAsia"/>
          <w:kern w:val="0"/>
          <w:sz w:val="27"/>
          <w:szCs w:val="27"/>
        </w:rPr>
        <w:t>（限</w:t>
      </w:r>
      <w:r w:rsidR="00617832" w:rsidRPr="00C67F72">
        <w:rPr>
          <w:rFonts w:hint="eastAsia"/>
          <w:kern w:val="0"/>
          <w:sz w:val="27"/>
          <w:szCs w:val="27"/>
        </w:rPr>
        <w:t>.doc</w:t>
      </w:r>
      <w:r w:rsidR="00617832" w:rsidRPr="00C67F72">
        <w:rPr>
          <w:rFonts w:hint="eastAsia"/>
          <w:kern w:val="0"/>
          <w:sz w:val="27"/>
          <w:szCs w:val="27"/>
        </w:rPr>
        <w:t>檔）</w:t>
      </w:r>
      <w:r w:rsidR="00A809DF" w:rsidRPr="00C67F72">
        <w:rPr>
          <w:kern w:val="0"/>
          <w:sz w:val="27"/>
          <w:szCs w:val="27"/>
        </w:rPr>
        <w:t>請寄至</w:t>
      </w:r>
      <w:r w:rsidR="00617832" w:rsidRPr="00C67F72">
        <w:rPr>
          <w:kern w:val="0"/>
          <w:sz w:val="27"/>
          <w:szCs w:val="27"/>
        </w:rPr>
        <w:t>：</w:t>
      </w:r>
    </w:p>
    <w:p w:rsidR="00617832" w:rsidRPr="00C67F72" w:rsidRDefault="00617832" w:rsidP="00A809DF">
      <w:pPr>
        <w:rPr>
          <w:kern w:val="0"/>
          <w:sz w:val="27"/>
          <w:szCs w:val="27"/>
        </w:rPr>
      </w:pPr>
      <w:r w:rsidRPr="00C67F72">
        <w:rPr>
          <w:rFonts w:hint="eastAsia"/>
          <w:kern w:val="0"/>
          <w:sz w:val="27"/>
          <w:szCs w:val="27"/>
        </w:rPr>
        <w:t>專書助理編輯</w:t>
      </w:r>
      <w:r w:rsidRPr="00C67F72">
        <w:rPr>
          <w:rFonts w:hint="eastAsia"/>
          <w:kern w:val="0"/>
          <w:sz w:val="27"/>
          <w:szCs w:val="27"/>
        </w:rPr>
        <w:t xml:space="preserve"> </w:t>
      </w:r>
      <w:r w:rsidRPr="00C67F72">
        <w:rPr>
          <w:rFonts w:hint="eastAsia"/>
          <w:kern w:val="0"/>
          <w:sz w:val="27"/>
          <w:szCs w:val="27"/>
        </w:rPr>
        <w:t>陳亞妹老師</w:t>
      </w:r>
      <w:r w:rsidR="00A809DF" w:rsidRPr="00C67F72">
        <w:rPr>
          <w:kern w:val="0"/>
          <w:sz w:val="27"/>
          <w:szCs w:val="27"/>
        </w:rPr>
        <w:t>E-mail</w:t>
      </w:r>
      <w:r w:rsidR="00A809DF" w:rsidRPr="00C67F72">
        <w:rPr>
          <w:kern w:val="0"/>
          <w:sz w:val="27"/>
          <w:szCs w:val="27"/>
        </w:rPr>
        <w:t>信箱</w:t>
      </w:r>
      <w:r w:rsidR="00A809DF" w:rsidRPr="00C67F72">
        <w:rPr>
          <w:kern w:val="0"/>
          <w:sz w:val="27"/>
          <w:szCs w:val="27"/>
        </w:rPr>
        <w:t xml:space="preserve"> </w:t>
      </w:r>
      <w:r w:rsidRPr="00C67F72">
        <w:rPr>
          <w:sz w:val="27"/>
          <w:szCs w:val="27"/>
          <w:shd w:val="clear" w:color="auto" w:fill="FFFFFF"/>
        </w:rPr>
        <w:t>&lt;</w:t>
      </w:r>
      <w:bookmarkStart w:id="0" w:name="_GoBack"/>
      <w:r w:rsidRPr="00C67F72">
        <w:rPr>
          <w:sz w:val="27"/>
          <w:szCs w:val="27"/>
          <w:shd w:val="clear" w:color="auto" w:fill="FFFFFF"/>
        </w:rPr>
        <w:t>yeamei0121@gmail.com</w:t>
      </w:r>
      <w:bookmarkEnd w:id="0"/>
      <w:r w:rsidRPr="00C67F72">
        <w:rPr>
          <w:sz w:val="27"/>
          <w:szCs w:val="27"/>
          <w:shd w:val="clear" w:color="auto" w:fill="FFFFFF"/>
        </w:rPr>
        <w:t>&gt;</w:t>
      </w:r>
    </w:p>
    <w:p w:rsidR="00A40780" w:rsidRPr="00617832" w:rsidRDefault="00617832" w:rsidP="00A809DF">
      <w:pPr>
        <w:rPr>
          <w:kern w:val="0"/>
          <w:sz w:val="27"/>
          <w:szCs w:val="27"/>
        </w:rPr>
      </w:pPr>
      <w:r w:rsidRPr="00C67F72">
        <w:rPr>
          <w:kern w:val="0"/>
          <w:sz w:val="27"/>
          <w:szCs w:val="27"/>
        </w:rPr>
        <w:t>並在信件標題註明</w:t>
      </w:r>
      <w:r w:rsidRPr="00C67F72">
        <w:rPr>
          <w:b/>
          <w:kern w:val="0"/>
          <w:sz w:val="27"/>
          <w:szCs w:val="27"/>
        </w:rPr>
        <w:t>［</w:t>
      </w:r>
      <w:r w:rsidRPr="00C67F72">
        <w:rPr>
          <w:rFonts w:hint="eastAsia"/>
          <w:b/>
          <w:kern w:val="0"/>
          <w:sz w:val="27"/>
          <w:szCs w:val="27"/>
        </w:rPr>
        <w:t>2</w:t>
      </w:r>
      <w:r w:rsidRPr="00C67F72">
        <w:rPr>
          <w:b/>
          <w:kern w:val="0"/>
          <w:sz w:val="27"/>
          <w:szCs w:val="27"/>
        </w:rPr>
        <w:t>022</w:t>
      </w:r>
      <w:r w:rsidRPr="00C67F72">
        <w:rPr>
          <w:b/>
          <w:kern w:val="0"/>
          <w:sz w:val="27"/>
          <w:szCs w:val="27"/>
        </w:rPr>
        <w:t>臺評專書稿件＋投稿人姓名］</w:t>
      </w:r>
      <w:r w:rsidR="00A809DF" w:rsidRPr="00617832">
        <w:rPr>
          <w:color w:val="FF0000"/>
          <w:kern w:val="0"/>
          <w:sz w:val="27"/>
          <w:szCs w:val="27"/>
        </w:rPr>
        <w:br/>
      </w:r>
      <w:r w:rsidR="00A809DF" w:rsidRPr="00617832">
        <w:rPr>
          <w:color w:val="FF0000"/>
          <w:kern w:val="0"/>
          <w:sz w:val="27"/>
          <w:szCs w:val="27"/>
        </w:rPr>
        <w:br/>
      </w:r>
      <w:r w:rsidR="00A809DF" w:rsidRPr="00617832">
        <w:rPr>
          <w:b/>
          <w:bCs/>
          <w:kern w:val="0"/>
          <w:sz w:val="27"/>
          <w:szCs w:val="27"/>
        </w:rPr>
        <w:t>九、</w:t>
      </w:r>
      <w:r w:rsidR="00210F11" w:rsidRPr="00617832">
        <w:rPr>
          <w:b/>
          <w:bCs/>
          <w:kern w:val="0"/>
          <w:sz w:val="27"/>
          <w:szCs w:val="27"/>
        </w:rPr>
        <w:t>審查與授權</w:t>
      </w:r>
      <w:r w:rsidR="00A809DF" w:rsidRPr="00617832">
        <w:rPr>
          <w:b/>
          <w:bCs/>
          <w:kern w:val="0"/>
          <w:sz w:val="27"/>
          <w:szCs w:val="27"/>
        </w:rPr>
        <w:t xml:space="preserve"> </w:t>
      </w:r>
      <w:r w:rsidR="00A809DF" w:rsidRPr="00617832">
        <w:rPr>
          <w:b/>
          <w:bCs/>
          <w:kern w:val="0"/>
          <w:sz w:val="27"/>
          <w:szCs w:val="27"/>
        </w:rPr>
        <w:br/>
      </w:r>
      <w:r w:rsidR="00A809DF" w:rsidRPr="00617832">
        <w:rPr>
          <w:kern w:val="0"/>
          <w:sz w:val="27"/>
          <w:szCs w:val="27"/>
        </w:rPr>
        <w:br/>
      </w:r>
      <w:r w:rsidR="00A809DF" w:rsidRPr="00617832">
        <w:rPr>
          <w:kern w:val="0"/>
          <w:sz w:val="27"/>
          <w:szCs w:val="27"/>
        </w:rPr>
        <w:t>邀稿和徵稿均需經同儕匿名審查，並經作者參酌審查意見做必要修訂至審查通過時方納入專書。作者於定稿時須簽署著作權授權書。</w:t>
      </w:r>
    </w:p>
    <w:p w:rsidR="00F24301" w:rsidRDefault="00F24301" w:rsidP="00A809DF">
      <w:pPr>
        <w:rPr>
          <w:rFonts w:ascii="PMingLiu" w:hAnsi="PMingLiu" w:cs="Arial" w:hint="eastAsia"/>
          <w:kern w:val="0"/>
          <w:sz w:val="27"/>
          <w:szCs w:val="27"/>
        </w:rPr>
      </w:pPr>
    </w:p>
    <w:p w:rsidR="00F24301" w:rsidRPr="00A809DF" w:rsidRDefault="00F24301" w:rsidP="00A809DF">
      <w:pPr>
        <w:rPr>
          <w:rFonts w:ascii="PMingLiu" w:hAnsi="PMingLiu" w:cs="Arial" w:hint="eastAsia"/>
          <w:b/>
          <w:bCs/>
          <w:kern w:val="0"/>
          <w:sz w:val="27"/>
          <w:szCs w:val="27"/>
        </w:rPr>
      </w:pPr>
    </w:p>
    <w:sectPr w:rsidR="00F24301" w:rsidRPr="00A809D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80" w:rsidRDefault="00590780" w:rsidP="00F00C86">
      <w:r>
        <w:separator/>
      </w:r>
    </w:p>
  </w:endnote>
  <w:endnote w:type="continuationSeparator" w:id="0">
    <w:p w:rsidR="00590780" w:rsidRDefault="00590780" w:rsidP="00F0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767713"/>
      <w:docPartObj>
        <w:docPartGallery w:val="Page Numbers (Bottom of Page)"/>
        <w:docPartUnique/>
      </w:docPartObj>
    </w:sdtPr>
    <w:sdtEndPr/>
    <w:sdtContent>
      <w:p w:rsidR="00F00C86" w:rsidRDefault="00F00C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A83" w:rsidRPr="00CD7A83">
          <w:rPr>
            <w:noProof/>
            <w:lang w:val="zh-TW"/>
          </w:rPr>
          <w:t>3</w:t>
        </w:r>
        <w:r>
          <w:fldChar w:fldCharType="end"/>
        </w:r>
      </w:p>
    </w:sdtContent>
  </w:sdt>
  <w:p w:rsidR="00F00C86" w:rsidRDefault="00F00C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80" w:rsidRDefault="00590780" w:rsidP="00F00C86">
      <w:r>
        <w:separator/>
      </w:r>
    </w:p>
  </w:footnote>
  <w:footnote w:type="continuationSeparator" w:id="0">
    <w:p w:rsidR="00590780" w:rsidRDefault="00590780" w:rsidP="00F0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DF"/>
    <w:rsid w:val="00000FD8"/>
    <w:rsid w:val="00002128"/>
    <w:rsid w:val="00005DAD"/>
    <w:rsid w:val="00017C77"/>
    <w:rsid w:val="000223BD"/>
    <w:rsid w:val="0002449A"/>
    <w:rsid w:val="000314BA"/>
    <w:rsid w:val="00034A88"/>
    <w:rsid w:val="00034F84"/>
    <w:rsid w:val="00035AAC"/>
    <w:rsid w:val="000377D5"/>
    <w:rsid w:val="00043BC8"/>
    <w:rsid w:val="000446F7"/>
    <w:rsid w:val="00047854"/>
    <w:rsid w:val="00047ED0"/>
    <w:rsid w:val="000572BB"/>
    <w:rsid w:val="00062979"/>
    <w:rsid w:val="00063F29"/>
    <w:rsid w:val="00064EB6"/>
    <w:rsid w:val="00065CA7"/>
    <w:rsid w:val="00067D84"/>
    <w:rsid w:val="0008174D"/>
    <w:rsid w:val="00081EF6"/>
    <w:rsid w:val="000841EC"/>
    <w:rsid w:val="00085CEB"/>
    <w:rsid w:val="0009571A"/>
    <w:rsid w:val="00095C23"/>
    <w:rsid w:val="00097622"/>
    <w:rsid w:val="000B16E3"/>
    <w:rsid w:val="000B4D62"/>
    <w:rsid w:val="000B6B72"/>
    <w:rsid w:val="000C004B"/>
    <w:rsid w:val="000D2A98"/>
    <w:rsid w:val="000D4C44"/>
    <w:rsid w:val="000D7074"/>
    <w:rsid w:val="000D7EC6"/>
    <w:rsid w:val="000E24DA"/>
    <w:rsid w:val="000F0561"/>
    <w:rsid w:val="000F3B32"/>
    <w:rsid w:val="000F49D4"/>
    <w:rsid w:val="000F5500"/>
    <w:rsid w:val="00101F97"/>
    <w:rsid w:val="00102275"/>
    <w:rsid w:val="0010445E"/>
    <w:rsid w:val="00106A2C"/>
    <w:rsid w:val="00111900"/>
    <w:rsid w:val="00112591"/>
    <w:rsid w:val="00113F68"/>
    <w:rsid w:val="0011700D"/>
    <w:rsid w:val="00117999"/>
    <w:rsid w:val="001243FD"/>
    <w:rsid w:val="00126954"/>
    <w:rsid w:val="00127252"/>
    <w:rsid w:val="001356C4"/>
    <w:rsid w:val="00146B33"/>
    <w:rsid w:val="001506DA"/>
    <w:rsid w:val="00152380"/>
    <w:rsid w:val="00153B23"/>
    <w:rsid w:val="001555C6"/>
    <w:rsid w:val="001555E9"/>
    <w:rsid w:val="00160022"/>
    <w:rsid w:val="00160103"/>
    <w:rsid w:val="001709F6"/>
    <w:rsid w:val="00170F57"/>
    <w:rsid w:val="00171EC8"/>
    <w:rsid w:val="0017305F"/>
    <w:rsid w:val="00187183"/>
    <w:rsid w:val="00190E43"/>
    <w:rsid w:val="00191852"/>
    <w:rsid w:val="001A0FDA"/>
    <w:rsid w:val="001A45E3"/>
    <w:rsid w:val="001A51B2"/>
    <w:rsid w:val="001B263D"/>
    <w:rsid w:val="001B3AEC"/>
    <w:rsid w:val="001B598C"/>
    <w:rsid w:val="001B5E01"/>
    <w:rsid w:val="001C5A44"/>
    <w:rsid w:val="001C6899"/>
    <w:rsid w:val="001C7D85"/>
    <w:rsid w:val="001D109B"/>
    <w:rsid w:val="001D2097"/>
    <w:rsid w:val="001D2AF7"/>
    <w:rsid w:val="001D3865"/>
    <w:rsid w:val="001E0667"/>
    <w:rsid w:val="001E2535"/>
    <w:rsid w:val="001E35D5"/>
    <w:rsid w:val="001E69BA"/>
    <w:rsid w:val="001E6D31"/>
    <w:rsid w:val="001F2022"/>
    <w:rsid w:val="001F3B56"/>
    <w:rsid w:val="001F59D5"/>
    <w:rsid w:val="001F6031"/>
    <w:rsid w:val="001F7D1B"/>
    <w:rsid w:val="00203649"/>
    <w:rsid w:val="002071C1"/>
    <w:rsid w:val="002079C8"/>
    <w:rsid w:val="00210F11"/>
    <w:rsid w:val="002111BB"/>
    <w:rsid w:val="002137BD"/>
    <w:rsid w:val="00214EAC"/>
    <w:rsid w:val="0021638B"/>
    <w:rsid w:val="00216808"/>
    <w:rsid w:val="00224039"/>
    <w:rsid w:val="002261BC"/>
    <w:rsid w:val="00234B4A"/>
    <w:rsid w:val="00236997"/>
    <w:rsid w:val="002379E3"/>
    <w:rsid w:val="0024025D"/>
    <w:rsid w:val="00243F6D"/>
    <w:rsid w:val="002507E2"/>
    <w:rsid w:val="00252A67"/>
    <w:rsid w:val="00262DAE"/>
    <w:rsid w:val="00263F67"/>
    <w:rsid w:val="00264358"/>
    <w:rsid w:val="0026514A"/>
    <w:rsid w:val="00265416"/>
    <w:rsid w:val="0026785D"/>
    <w:rsid w:val="00271BA3"/>
    <w:rsid w:val="0028169B"/>
    <w:rsid w:val="0028463B"/>
    <w:rsid w:val="002863A9"/>
    <w:rsid w:val="0028683E"/>
    <w:rsid w:val="0029027E"/>
    <w:rsid w:val="00293488"/>
    <w:rsid w:val="00295288"/>
    <w:rsid w:val="00297E61"/>
    <w:rsid w:val="002A1964"/>
    <w:rsid w:val="002A4C19"/>
    <w:rsid w:val="002A6354"/>
    <w:rsid w:val="002A67F1"/>
    <w:rsid w:val="002B01EA"/>
    <w:rsid w:val="002B7752"/>
    <w:rsid w:val="002C44BB"/>
    <w:rsid w:val="002D650C"/>
    <w:rsid w:val="002E3230"/>
    <w:rsid w:val="002E5BD2"/>
    <w:rsid w:val="002E78C6"/>
    <w:rsid w:val="002F3F44"/>
    <w:rsid w:val="002F4898"/>
    <w:rsid w:val="002F48A4"/>
    <w:rsid w:val="002F5543"/>
    <w:rsid w:val="00304559"/>
    <w:rsid w:val="0030567D"/>
    <w:rsid w:val="00311CC4"/>
    <w:rsid w:val="00317248"/>
    <w:rsid w:val="0031775C"/>
    <w:rsid w:val="0032070D"/>
    <w:rsid w:val="0032174E"/>
    <w:rsid w:val="0032189A"/>
    <w:rsid w:val="00321943"/>
    <w:rsid w:val="003344D1"/>
    <w:rsid w:val="00335A6A"/>
    <w:rsid w:val="003365C5"/>
    <w:rsid w:val="003428BF"/>
    <w:rsid w:val="003442FF"/>
    <w:rsid w:val="00345E24"/>
    <w:rsid w:val="00346547"/>
    <w:rsid w:val="00350A81"/>
    <w:rsid w:val="00351D9A"/>
    <w:rsid w:val="00353336"/>
    <w:rsid w:val="00355A41"/>
    <w:rsid w:val="00357A19"/>
    <w:rsid w:val="003635D6"/>
    <w:rsid w:val="00366E91"/>
    <w:rsid w:val="003670F2"/>
    <w:rsid w:val="00371379"/>
    <w:rsid w:val="003734F1"/>
    <w:rsid w:val="00377C4B"/>
    <w:rsid w:val="00377C96"/>
    <w:rsid w:val="00380144"/>
    <w:rsid w:val="003821C8"/>
    <w:rsid w:val="0038764B"/>
    <w:rsid w:val="00397B98"/>
    <w:rsid w:val="003B041B"/>
    <w:rsid w:val="003B14FC"/>
    <w:rsid w:val="003B2228"/>
    <w:rsid w:val="003B7C48"/>
    <w:rsid w:val="003C1094"/>
    <w:rsid w:val="003D16B1"/>
    <w:rsid w:val="003D59A3"/>
    <w:rsid w:val="003E1B8A"/>
    <w:rsid w:val="003E296F"/>
    <w:rsid w:val="003E3166"/>
    <w:rsid w:val="003E599C"/>
    <w:rsid w:val="003E654B"/>
    <w:rsid w:val="003F12EF"/>
    <w:rsid w:val="003F16CA"/>
    <w:rsid w:val="003F23D8"/>
    <w:rsid w:val="003F31C2"/>
    <w:rsid w:val="003F4CE2"/>
    <w:rsid w:val="003F5793"/>
    <w:rsid w:val="003F57AB"/>
    <w:rsid w:val="0040082B"/>
    <w:rsid w:val="00403869"/>
    <w:rsid w:val="00407DEC"/>
    <w:rsid w:val="004121EF"/>
    <w:rsid w:val="00415645"/>
    <w:rsid w:val="0041706A"/>
    <w:rsid w:val="00417BFC"/>
    <w:rsid w:val="004208EF"/>
    <w:rsid w:val="00421DCF"/>
    <w:rsid w:val="004330B4"/>
    <w:rsid w:val="004331EA"/>
    <w:rsid w:val="00437E96"/>
    <w:rsid w:val="004416D4"/>
    <w:rsid w:val="004421CF"/>
    <w:rsid w:val="00442D82"/>
    <w:rsid w:val="00445FDA"/>
    <w:rsid w:val="00446E4C"/>
    <w:rsid w:val="00450D12"/>
    <w:rsid w:val="0046089A"/>
    <w:rsid w:val="004627CE"/>
    <w:rsid w:val="00466F3A"/>
    <w:rsid w:val="004732D6"/>
    <w:rsid w:val="004734F5"/>
    <w:rsid w:val="004756F4"/>
    <w:rsid w:val="00481DAC"/>
    <w:rsid w:val="004838F4"/>
    <w:rsid w:val="00492EBE"/>
    <w:rsid w:val="0049368A"/>
    <w:rsid w:val="00494A80"/>
    <w:rsid w:val="0049639D"/>
    <w:rsid w:val="004A562C"/>
    <w:rsid w:val="004A5FBB"/>
    <w:rsid w:val="004B05D6"/>
    <w:rsid w:val="004B2D0C"/>
    <w:rsid w:val="004B3C0F"/>
    <w:rsid w:val="004C1162"/>
    <w:rsid w:val="004C2841"/>
    <w:rsid w:val="004D367B"/>
    <w:rsid w:val="004E3A8D"/>
    <w:rsid w:val="004E7F96"/>
    <w:rsid w:val="004F339B"/>
    <w:rsid w:val="004F37FB"/>
    <w:rsid w:val="004F63D1"/>
    <w:rsid w:val="00505014"/>
    <w:rsid w:val="00514BBF"/>
    <w:rsid w:val="0051669F"/>
    <w:rsid w:val="00516E3D"/>
    <w:rsid w:val="005203F8"/>
    <w:rsid w:val="00523132"/>
    <w:rsid w:val="00531AD5"/>
    <w:rsid w:val="005323D0"/>
    <w:rsid w:val="0053463C"/>
    <w:rsid w:val="00534EA6"/>
    <w:rsid w:val="00541CF6"/>
    <w:rsid w:val="00544821"/>
    <w:rsid w:val="0055162C"/>
    <w:rsid w:val="00557C32"/>
    <w:rsid w:val="00561EC9"/>
    <w:rsid w:val="00564915"/>
    <w:rsid w:val="00565DD8"/>
    <w:rsid w:val="00565E7C"/>
    <w:rsid w:val="00570EB1"/>
    <w:rsid w:val="005724E4"/>
    <w:rsid w:val="005727DC"/>
    <w:rsid w:val="00581150"/>
    <w:rsid w:val="00582BE0"/>
    <w:rsid w:val="00590780"/>
    <w:rsid w:val="005919DC"/>
    <w:rsid w:val="005948C9"/>
    <w:rsid w:val="005978BB"/>
    <w:rsid w:val="005B08B8"/>
    <w:rsid w:val="005B5946"/>
    <w:rsid w:val="005C5110"/>
    <w:rsid w:val="005D1E09"/>
    <w:rsid w:val="005D750B"/>
    <w:rsid w:val="005E71E1"/>
    <w:rsid w:val="005F2147"/>
    <w:rsid w:val="005F21F2"/>
    <w:rsid w:val="005F2DF0"/>
    <w:rsid w:val="005F3EF1"/>
    <w:rsid w:val="006045E2"/>
    <w:rsid w:val="006175C2"/>
    <w:rsid w:val="00617832"/>
    <w:rsid w:val="00620C88"/>
    <w:rsid w:val="0062202E"/>
    <w:rsid w:val="00623648"/>
    <w:rsid w:val="00632605"/>
    <w:rsid w:val="00645036"/>
    <w:rsid w:val="00645063"/>
    <w:rsid w:val="00655CB2"/>
    <w:rsid w:val="006579A2"/>
    <w:rsid w:val="00657BED"/>
    <w:rsid w:val="00660EF8"/>
    <w:rsid w:val="006635CC"/>
    <w:rsid w:val="00663E92"/>
    <w:rsid w:val="006663A3"/>
    <w:rsid w:val="006753B3"/>
    <w:rsid w:val="00675AC3"/>
    <w:rsid w:val="00676774"/>
    <w:rsid w:val="00685743"/>
    <w:rsid w:val="006914A7"/>
    <w:rsid w:val="006A5178"/>
    <w:rsid w:val="006A5D3E"/>
    <w:rsid w:val="006A70B4"/>
    <w:rsid w:val="006B6334"/>
    <w:rsid w:val="006D4635"/>
    <w:rsid w:val="006D78AF"/>
    <w:rsid w:val="006E554B"/>
    <w:rsid w:val="006F1CF5"/>
    <w:rsid w:val="006F3FB3"/>
    <w:rsid w:val="00700705"/>
    <w:rsid w:val="007138C2"/>
    <w:rsid w:val="00716AF0"/>
    <w:rsid w:val="00721563"/>
    <w:rsid w:val="00724B59"/>
    <w:rsid w:val="00731522"/>
    <w:rsid w:val="00734A82"/>
    <w:rsid w:val="007350AF"/>
    <w:rsid w:val="00736166"/>
    <w:rsid w:val="007500E9"/>
    <w:rsid w:val="00753C5E"/>
    <w:rsid w:val="007576B1"/>
    <w:rsid w:val="007619E2"/>
    <w:rsid w:val="00762D35"/>
    <w:rsid w:val="007637F0"/>
    <w:rsid w:val="00764A1F"/>
    <w:rsid w:val="00772311"/>
    <w:rsid w:val="00776F54"/>
    <w:rsid w:val="007809E5"/>
    <w:rsid w:val="00781A13"/>
    <w:rsid w:val="00784644"/>
    <w:rsid w:val="007873B0"/>
    <w:rsid w:val="00787925"/>
    <w:rsid w:val="0079474C"/>
    <w:rsid w:val="007947C4"/>
    <w:rsid w:val="007955C9"/>
    <w:rsid w:val="00795B0B"/>
    <w:rsid w:val="007969FA"/>
    <w:rsid w:val="00796A3E"/>
    <w:rsid w:val="007A0C83"/>
    <w:rsid w:val="007A166F"/>
    <w:rsid w:val="007B24FD"/>
    <w:rsid w:val="007B34EA"/>
    <w:rsid w:val="007B3CE9"/>
    <w:rsid w:val="007C0F20"/>
    <w:rsid w:val="007C174C"/>
    <w:rsid w:val="007D1C70"/>
    <w:rsid w:val="007F3FB0"/>
    <w:rsid w:val="008032BD"/>
    <w:rsid w:val="0081284A"/>
    <w:rsid w:val="0081676A"/>
    <w:rsid w:val="0081678E"/>
    <w:rsid w:val="0081700A"/>
    <w:rsid w:val="0082159F"/>
    <w:rsid w:val="008219A5"/>
    <w:rsid w:val="00821D68"/>
    <w:rsid w:val="00825ABE"/>
    <w:rsid w:val="0083046D"/>
    <w:rsid w:val="008355CB"/>
    <w:rsid w:val="008425F3"/>
    <w:rsid w:val="00844C85"/>
    <w:rsid w:val="00844EA9"/>
    <w:rsid w:val="00847714"/>
    <w:rsid w:val="0086654F"/>
    <w:rsid w:val="00870B67"/>
    <w:rsid w:val="008712BF"/>
    <w:rsid w:val="00873493"/>
    <w:rsid w:val="00877923"/>
    <w:rsid w:val="0088554E"/>
    <w:rsid w:val="0088729E"/>
    <w:rsid w:val="00894215"/>
    <w:rsid w:val="00895EB2"/>
    <w:rsid w:val="0089758E"/>
    <w:rsid w:val="00897DE6"/>
    <w:rsid w:val="008A31AC"/>
    <w:rsid w:val="008B1424"/>
    <w:rsid w:val="008B153B"/>
    <w:rsid w:val="008B524D"/>
    <w:rsid w:val="008B5CF8"/>
    <w:rsid w:val="008B688A"/>
    <w:rsid w:val="008B7B03"/>
    <w:rsid w:val="008C2F77"/>
    <w:rsid w:val="008C6388"/>
    <w:rsid w:val="008D0A08"/>
    <w:rsid w:val="008D12E1"/>
    <w:rsid w:val="008D4037"/>
    <w:rsid w:val="008D4042"/>
    <w:rsid w:val="008D4BF7"/>
    <w:rsid w:val="008D69D0"/>
    <w:rsid w:val="008D7BC2"/>
    <w:rsid w:val="008E07B9"/>
    <w:rsid w:val="008E108C"/>
    <w:rsid w:val="008E4AB6"/>
    <w:rsid w:val="008F7D80"/>
    <w:rsid w:val="00900A62"/>
    <w:rsid w:val="0090473B"/>
    <w:rsid w:val="00904A4B"/>
    <w:rsid w:val="00910DC3"/>
    <w:rsid w:val="009155A2"/>
    <w:rsid w:val="0092092A"/>
    <w:rsid w:val="00924B0A"/>
    <w:rsid w:val="0092541A"/>
    <w:rsid w:val="00935C87"/>
    <w:rsid w:val="00936319"/>
    <w:rsid w:val="00937917"/>
    <w:rsid w:val="00945ED5"/>
    <w:rsid w:val="00951801"/>
    <w:rsid w:val="00953B6E"/>
    <w:rsid w:val="009604E1"/>
    <w:rsid w:val="00960BF6"/>
    <w:rsid w:val="00967DC4"/>
    <w:rsid w:val="0097225F"/>
    <w:rsid w:val="00973F6B"/>
    <w:rsid w:val="00977059"/>
    <w:rsid w:val="0098060E"/>
    <w:rsid w:val="00987A45"/>
    <w:rsid w:val="009900C4"/>
    <w:rsid w:val="0099062B"/>
    <w:rsid w:val="0099238F"/>
    <w:rsid w:val="009923BD"/>
    <w:rsid w:val="009950C7"/>
    <w:rsid w:val="009A1B35"/>
    <w:rsid w:val="009A28A7"/>
    <w:rsid w:val="009A516C"/>
    <w:rsid w:val="009B34FD"/>
    <w:rsid w:val="009B6316"/>
    <w:rsid w:val="009C2418"/>
    <w:rsid w:val="009C2F02"/>
    <w:rsid w:val="009C4461"/>
    <w:rsid w:val="009C4F57"/>
    <w:rsid w:val="009C5B83"/>
    <w:rsid w:val="009C6717"/>
    <w:rsid w:val="009D2E20"/>
    <w:rsid w:val="009D5A5E"/>
    <w:rsid w:val="009E1EE7"/>
    <w:rsid w:val="009F200C"/>
    <w:rsid w:val="009F2069"/>
    <w:rsid w:val="009F563A"/>
    <w:rsid w:val="009F6637"/>
    <w:rsid w:val="00A01D32"/>
    <w:rsid w:val="00A02D6A"/>
    <w:rsid w:val="00A04CE0"/>
    <w:rsid w:val="00A1250C"/>
    <w:rsid w:val="00A22208"/>
    <w:rsid w:val="00A25F11"/>
    <w:rsid w:val="00A26608"/>
    <w:rsid w:val="00A275B0"/>
    <w:rsid w:val="00A3031D"/>
    <w:rsid w:val="00A31CAA"/>
    <w:rsid w:val="00A3601C"/>
    <w:rsid w:val="00A37091"/>
    <w:rsid w:val="00A37B7C"/>
    <w:rsid w:val="00A40780"/>
    <w:rsid w:val="00A47245"/>
    <w:rsid w:val="00A65026"/>
    <w:rsid w:val="00A674C4"/>
    <w:rsid w:val="00A70D08"/>
    <w:rsid w:val="00A71E99"/>
    <w:rsid w:val="00A75284"/>
    <w:rsid w:val="00A809DF"/>
    <w:rsid w:val="00A8600B"/>
    <w:rsid w:val="00A903AD"/>
    <w:rsid w:val="00A91FF0"/>
    <w:rsid w:val="00A921EC"/>
    <w:rsid w:val="00A92629"/>
    <w:rsid w:val="00A928C7"/>
    <w:rsid w:val="00A934E2"/>
    <w:rsid w:val="00A93523"/>
    <w:rsid w:val="00AA081D"/>
    <w:rsid w:val="00AA5E65"/>
    <w:rsid w:val="00AB0CE7"/>
    <w:rsid w:val="00AB6A36"/>
    <w:rsid w:val="00AC2D9A"/>
    <w:rsid w:val="00AC6774"/>
    <w:rsid w:val="00AD21D7"/>
    <w:rsid w:val="00AD49E7"/>
    <w:rsid w:val="00AD66EB"/>
    <w:rsid w:val="00AD69FF"/>
    <w:rsid w:val="00AE432E"/>
    <w:rsid w:val="00AE53D0"/>
    <w:rsid w:val="00AE77A4"/>
    <w:rsid w:val="00AF1416"/>
    <w:rsid w:val="00AF43ED"/>
    <w:rsid w:val="00B00479"/>
    <w:rsid w:val="00B01EC0"/>
    <w:rsid w:val="00B06877"/>
    <w:rsid w:val="00B14381"/>
    <w:rsid w:val="00B15327"/>
    <w:rsid w:val="00B15729"/>
    <w:rsid w:val="00B15C4C"/>
    <w:rsid w:val="00B17CCD"/>
    <w:rsid w:val="00B257D2"/>
    <w:rsid w:val="00B34D27"/>
    <w:rsid w:val="00B356A1"/>
    <w:rsid w:val="00B36718"/>
    <w:rsid w:val="00B464FE"/>
    <w:rsid w:val="00B51A8F"/>
    <w:rsid w:val="00B569AC"/>
    <w:rsid w:val="00B57433"/>
    <w:rsid w:val="00B6349A"/>
    <w:rsid w:val="00B654DA"/>
    <w:rsid w:val="00B67443"/>
    <w:rsid w:val="00B67527"/>
    <w:rsid w:val="00B67937"/>
    <w:rsid w:val="00B710FD"/>
    <w:rsid w:val="00B71806"/>
    <w:rsid w:val="00B85EBF"/>
    <w:rsid w:val="00B915D9"/>
    <w:rsid w:val="00B9173D"/>
    <w:rsid w:val="00B93204"/>
    <w:rsid w:val="00B93E5F"/>
    <w:rsid w:val="00BA7C61"/>
    <w:rsid w:val="00BB4214"/>
    <w:rsid w:val="00BB4509"/>
    <w:rsid w:val="00BB5A0C"/>
    <w:rsid w:val="00BC6714"/>
    <w:rsid w:val="00BD4A2C"/>
    <w:rsid w:val="00BE02CF"/>
    <w:rsid w:val="00BE31EC"/>
    <w:rsid w:val="00BF0AFE"/>
    <w:rsid w:val="00BF356F"/>
    <w:rsid w:val="00BF3695"/>
    <w:rsid w:val="00BF45F6"/>
    <w:rsid w:val="00BF4D91"/>
    <w:rsid w:val="00BF5CE9"/>
    <w:rsid w:val="00BF7CB9"/>
    <w:rsid w:val="00C051AD"/>
    <w:rsid w:val="00C05F0D"/>
    <w:rsid w:val="00C11006"/>
    <w:rsid w:val="00C12316"/>
    <w:rsid w:val="00C13285"/>
    <w:rsid w:val="00C1502A"/>
    <w:rsid w:val="00C21D4E"/>
    <w:rsid w:val="00C248B9"/>
    <w:rsid w:val="00C262CF"/>
    <w:rsid w:val="00C31051"/>
    <w:rsid w:val="00C349D0"/>
    <w:rsid w:val="00C36591"/>
    <w:rsid w:val="00C43653"/>
    <w:rsid w:val="00C4371F"/>
    <w:rsid w:val="00C44C47"/>
    <w:rsid w:val="00C46180"/>
    <w:rsid w:val="00C47AA4"/>
    <w:rsid w:val="00C51321"/>
    <w:rsid w:val="00C5399E"/>
    <w:rsid w:val="00C632C4"/>
    <w:rsid w:val="00C63D34"/>
    <w:rsid w:val="00C64DE5"/>
    <w:rsid w:val="00C65D1F"/>
    <w:rsid w:val="00C67F72"/>
    <w:rsid w:val="00C7569D"/>
    <w:rsid w:val="00C8588E"/>
    <w:rsid w:val="00C96EB0"/>
    <w:rsid w:val="00CA1A22"/>
    <w:rsid w:val="00CA5744"/>
    <w:rsid w:val="00CB6C38"/>
    <w:rsid w:val="00CC344A"/>
    <w:rsid w:val="00CC4B91"/>
    <w:rsid w:val="00CC5579"/>
    <w:rsid w:val="00CC5BED"/>
    <w:rsid w:val="00CC6B73"/>
    <w:rsid w:val="00CD13AF"/>
    <w:rsid w:val="00CD5162"/>
    <w:rsid w:val="00CD57B6"/>
    <w:rsid w:val="00CD7A83"/>
    <w:rsid w:val="00CE09F7"/>
    <w:rsid w:val="00CE19B6"/>
    <w:rsid w:val="00CE1D08"/>
    <w:rsid w:val="00CE1E20"/>
    <w:rsid w:val="00CE1FAD"/>
    <w:rsid w:val="00CE25E8"/>
    <w:rsid w:val="00CE2623"/>
    <w:rsid w:val="00CE2C29"/>
    <w:rsid w:val="00CE4A6B"/>
    <w:rsid w:val="00CE4EB2"/>
    <w:rsid w:val="00CE6B05"/>
    <w:rsid w:val="00CF1080"/>
    <w:rsid w:val="00CF4917"/>
    <w:rsid w:val="00CF4F7A"/>
    <w:rsid w:val="00D0123C"/>
    <w:rsid w:val="00D01846"/>
    <w:rsid w:val="00D022AE"/>
    <w:rsid w:val="00D0457F"/>
    <w:rsid w:val="00D06E10"/>
    <w:rsid w:val="00D11FA2"/>
    <w:rsid w:val="00D1304A"/>
    <w:rsid w:val="00D16A96"/>
    <w:rsid w:val="00D22DFE"/>
    <w:rsid w:val="00D240C5"/>
    <w:rsid w:val="00D26083"/>
    <w:rsid w:val="00D3146A"/>
    <w:rsid w:val="00D360FE"/>
    <w:rsid w:val="00D3676D"/>
    <w:rsid w:val="00D4170C"/>
    <w:rsid w:val="00D43AA9"/>
    <w:rsid w:val="00D6401C"/>
    <w:rsid w:val="00D65587"/>
    <w:rsid w:val="00D67724"/>
    <w:rsid w:val="00D71A0F"/>
    <w:rsid w:val="00D71C87"/>
    <w:rsid w:val="00D76126"/>
    <w:rsid w:val="00D7693C"/>
    <w:rsid w:val="00D771DA"/>
    <w:rsid w:val="00D8187D"/>
    <w:rsid w:val="00D84122"/>
    <w:rsid w:val="00D866E9"/>
    <w:rsid w:val="00D90AB0"/>
    <w:rsid w:val="00D915FD"/>
    <w:rsid w:val="00D939A4"/>
    <w:rsid w:val="00D93F16"/>
    <w:rsid w:val="00D95C4C"/>
    <w:rsid w:val="00DA7912"/>
    <w:rsid w:val="00DB0018"/>
    <w:rsid w:val="00DB0ACB"/>
    <w:rsid w:val="00DB133F"/>
    <w:rsid w:val="00DB1827"/>
    <w:rsid w:val="00DB204F"/>
    <w:rsid w:val="00DB4CA3"/>
    <w:rsid w:val="00DB6681"/>
    <w:rsid w:val="00DB78C5"/>
    <w:rsid w:val="00DC1E6B"/>
    <w:rsid w:val="00DC790A"/>
    <w:rsid w:val="00DD10CD"/>
    <w:rsid w:val="00DD1FAA"/>
    <w:rsid w:val="00DE493C"/>
    <w:rsid w:val="00DE6EAD"/>
    <w:rsid w:val="00DE77D2"/>
    <w:rsid w:val="00DE78FF"/>
    <w:rsid w:val="00E040F7"/>
    <w:rsid w:val="00E10966"/>
    <w:rsid w:val="00E139DA"/>
    <w:rsid w:val="00E167EA"/>
    <w:rsid w:val="00E23B69"/>
    <w:rsid w:val="00E26226"/>
    <w:rsid w:val="00E32E4C"/>
    <w:rsid w:val="00E33218"/>
    <w:rsid w:val="00E376F6"/>
    <w:rsid w:val="00E37BA3"/>
    <w:rsid w:val="00E42363"/>
    <w:rsid w:val="00E506DF"/>
    <w:rsid w:val="00E515A2"/>
    <w:rsid w:val="00E52B52"/>
    <w:rsid w:val="00E641E0"/>
    <w:rsid w:val="00E659C8"/>
    <w:rsid w:val="00E7123B"/>
    <w:rsid w:val="00E76D23"/>
    <w:rsid w:val="00E8373F"/>
    <w:rsid w:val="00E83B5C"/>
    <w:rsid w:val="00E83C1E"/>
    <w:rsid w:val="00E866E5"/>
    <w:rsid w:val="00E91090"/>
    <w:rsid w:val="00E94F72"/>
    <w:rsid w:val="00E95C10"/>
    <w:rsid w:val="00E96008"/>
    <w:rsid w:val="00EA204C"/>
    <w:rsid w:val="00EA379F"/>
    <w:rsid w:val="00EA3F85"/>
    <w:rsid w:val="00EA47CE"/>
    <w:rsid w:val="00EA4E7E"/>
    <w:rsid w:val="00EA5151"/>
    <w:rsid w:val="00EA5CB8"/>
    <w:rsid w:val="00EA7D66"/>
    <w:rsid w:val="00EB2D3B"/>
    <w:rsid w:val="00EB3922"/>
    <w:rsid w:val="00EC011D"/>
    <w:rsid w:val="00EC54C7"/>
    <w:rsid w:val="00EC68B1"/>
    <w:rsid w:val="00ED24E3"/>
    <w:rsid w:val="00ED44AA"/>
    <w:rsid w:val="00ED5BA3"/>
    <w:rsid w:val="00ED6C4E"/>
    <w:rsid w:val="00EE075E"/>
    <w:rsid w:val="00EE1758"/>
    <w:rsid w:val="00EE2672"/>
    <w:rsid w:val="00EE3974"/>
    <w:rsid w:val="00EF2A70"/>
    <w:rsid w:val="00EF3696"/>
    <w:rsid w:val="00EF67B6"/>
    <w:rsid w:val="00EF6E0C"/>
    <w:rsid w:val="00EF7AB1"/>
    <w:rsid w:val="00EF7CCC"/>
    <w:rsid w:val="00EF7FC1"/>
    <w:rsid w:val="00F00C86"/>
    <w:rsid w:val="00F02A1F"/>
    <w:rsid w:val="00F040AC"/>
    <w:rsid w:val="00F121F2"/>
    <w:rsid w:val="00F13D40"/>
    <w:rsid w:val="00F235DE"/>
    <w:rsid w:val="00F24301"/>
    <w:rsid w:val="00F3147C"/>
    <w:rsid w:val="00F327DB"/>
    <w:rsid w:val="00F36A34"/>
    <w:rsid w:val="00F409EE"/>
    <w:rsid w:val="00F45CD7"/>
    <w:rsid w:val="00F5141F"/>
    <w:rsid w:val="00F542E2"/>
    <w:rsid w:val="00F56F8B"/>
    <w:rsid w:val="00F63434"/>
    <w:rsid w:val="00F70940"/>
    <w:rsid w:val="00F746F3"/>
    <w:rsid w:val="00F7751E"/>
    <w:rsid w:val="00F81854"/>
    <w:rsid w:val="00F8322B"/>
    <w:rsid w:val="00F86268"/>
    <w:rsid w:val="00F9460E"/>
    <w:rsid w:val="00F95BE2"/>
    <w:rsid w:val="00FA53D1"/>
    <w:rsid w:val="00FA6DC4"/>
    <w:rsid w:val="00FB1924"/>
    <w:rsid w:val="00FB2D06"/>
    <w:rsid w:val="00FC089B"/>
    <w:rsid w:val="00FC0D01"/>
    <w:rsid w:val="00FC0DE7"/>
    <w:rsid w:val="00FC4311"/>
    <w:rsid w:val="00FD20C1"/>
    <w:rsid w:val="00FD34B1"/>
    <w:rsid w:val="00FE0E48"/>
    <w:rsid w:val="00FE41DA"/>
    <w:rsid w:val="00FE4C1A"/>
    <w:rsid w:val="00FE500C"/>
    <w:rsid w:val="00FF4AAA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7A5E3B-4B7A-4EAA-A77D-C399FA2D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9DF"/>
    <w:rPr>
      <w:b/>
      <w:bCs/>
    </w:rPr>
  </w:style>
  <w:style w:type="character" w:styleId="a4">
    <w:name w:val="Hyperlink"/>
    <w:basedOn w:val="a0"/>
    <w:uiPriority w:val="99"/>
    <w:unhideWhenUsed/>
    <w:rsid w:val="00A809DF"/>
    <w:rPr>
      <w:color w:val="0000FF"/>
      <w:u w:val="single"/>
    </w:rPr>
  </w:style>
  <w:style w:type="paragraph" w:styleId="a5">
    <w:name w:val="header"/>
    <w:basedOn w:val="a"/>
    <w:link w:val="a6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0C86"/>
    <w:rPr>
      <w:kern w:val="2"/>
    </w:rPr>
  </w:style>
  <w:style w:type="paragraph" w:styleId="a7">
    <w:name w:val="footer"/>
    <w:basedOn w:val="a"/>
    <w:link w:val="a8"/>
    <w:uiPriority w:val="99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0C86"/>
    <w:rPr>
      <w:kern w:val="2"/>
    </w:rPr>
  </w:style>
  <w:style w:type="paragraph" w:styleId="a9">
    <w:name w:val="Balloon Text"/>
    <w:basedOn w:val="a"/>
    <w:link w:val="aa"/>
    <w:rsid w:val="00415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1564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FollowedHyperlink"/>
    <w:basedOn w:val="a0"/>
    <w:semiHidden/>
    <w:unhideWhenUsed/>
    <w:rsid w:val="008665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52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24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7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9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23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45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63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215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682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791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080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593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03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5943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078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604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023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631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6944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3467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4732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4878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0606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6402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067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3170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40861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98558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rtaiw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br.org/guidelines-for-authors-h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wl.english.purdue.edu/owl/resource/560/0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8C03-3500-45D5-A2C9-9CA380E6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utaipei</cp:lastModifiedBy>
  <cp:revision>2</cp:revision>
  <cp:lastPrinted>2019-08-07T07:36:00Z</cp:lastPrinted>
  <dcterms:created xsi:type="dcterms:W3CDTF">2021-10-07T09:48:00Z</dcterms:created>
  <dcterms:modified xsi:type="dcterms:W3CDTF">2021-10-07T09:48:00Z</dcterms:modified>
</cp:coreProperties>
</file>